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EC703">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1AE548C1">
      <w:pPr>
        <w:pStyle w:val="12"/>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14:paraId="60EDBA73">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14:paraId="27DDCBE5">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14:paraId="430C1960">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14:paraId="0B954ECA">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14:paraId="658BFBDF">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14:paraId="43AC46FB">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14:paraId="7BBF4022">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14:paraId="4565AFEE">
      <w:pPr>
        <w:spacing w:after="120" w:afterLines="50" w:line="380" w:lineRule="exact"/>
        <w:rPr>
          <w:rFonts w:ascii="仿宋_GB2312" w:eastAsia="仿宋_GB2312"/>
          <w:color w:val="auto"/>
        </w:rPr>
      </w:pPr>
    </w:p>
    <w:p w14:paraId="198B1084">
      <w:pPr>
        <w:spacing w:line="380" w:lineRule="exact"/>
        <w:rPr>
          <w:rFonts w:ascii="仿宋_GB2312" w:eastAsia="仿宋_GB2312"/>
          <w:color w:val="auto"/>
        </w:rPr>
      </w:pPr>
    </w:p>
    <w:p w14:paraId="5F431824">
      <w:pPr>
        <w:spacing w:line="380" w:lineRule="exact"/>
        <w:rPr>
          <w:rFonts w:ascii="仿宋_GB2312" w:eastAsia="仿宋_GB2312"/>
          <w:color w:val="auto"/>
        </w:rPr>
      </w:pPr>
    </w:p>
    <w:p w14:paraId="34A58244">
      <w:pPr>
        <w:spacing w:line="380" w:lineRule="exact"/>
        <w:rPr>
          <w:rFonts w:ascii="仿宋_GB2312" w:eastAsia="仿宋_GB2312"/>
          <w:color w:val="auto"/>
        </w:rPr>
      </w:pPr>
    </w:p>
    <w:p w14:paraId="57688440">
      <w:pPr>
        <w:spacing w:line="380" w:lineRule="exact"/>
        <w:rPr>
          <w:rFonts w:ascii="仿宋_GB2312" w:eastAsia="仿宋_GB2312"/>
          <w:color w:val="auto"/>
        </w:rPr>
      </w:pPr>
    </w:p>
    <w:p w14:paraId="06B6588E">
      <w:pPr>
        <w:spacing w:line="380" w:lineRule="exact"/>
        <w:rPr>
          <w:rFonts w:ascii="仿宋_GB2312" w:eastAsia="仿宋_GB2312"/>
          <w:color w:val="auto"/>
        </w:rPr>
      </w:pPr>
    </w:p>
    <w:p w14:paraId="31D1E38A">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14:paraId="209C7A1D">
      <w:pPr>
        <w:spacing w:line="380" w:lineRule="exact"/>
        <w:rPr>
          <w:rFonts w:ascii="仿宋_GB2312" w:eastAsia="仿宋_GB2312"/>
          <w:color w:val="auto"/>
        </w:rPr>
      </w:pPr>
      <w:r>
        <w:rPr>
          <w:rFonts w:ascii="仿宋_GB2312" w:eastAsia="仿宋_GB2312"/>
          <w:color w:val="auto"/>
        </w:rPr>
        <w:t xml:space="preserve">                                                                                                                                                                             </w:t>
      </w:r>
    </w:p>
    <w:p w14:paraId="49AF2DDE">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14:paraId="5169015D">
      <w:pPr>
        <w:spacing w:line="380" w:lineRule="exact"/>
        <w:rPr>
          <w:rFonts w:ascii="仿宋_GB2312" w:eastAsia="仿宋_GB2312"/>
          <w:color w:val="auto"/>
        </w:rPr>
      </w:pPr>
      <w:r>
        <w:rPr>
          <w:rFonts w:ascii="仿宋_GB2312" w:eastAsia="仿宋_GB2312"/>
          <w:color w:val="auto"/>
        </w:rPr>
        <w:t xml:space="preserve">                           </w:t>
      </w:r>
    </w:p>
    <w:p w14:paraId="58314621">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14:paraId="3A3FD308">
      <w:pPr>
        <w:spacing w:line="380" w:lineRule="exact"/>
        <w:rPr>
          <w:rFonts w:hint="eastAsia"/>
          <w:color w:val="auto"/>
        </w:rPr>
      </w:pPr>
    </w:p>
    <w:p w14:paraId="16EA15D8">
      <w:pPr>
        <w:spacing w:line="380" w:lineRule="exact"/>
        <w:rPr>
          <w:rFonts w:hint="eastAsia"/>
          <w:color w:val="auto"/>
        </w:rPr>
      </w:pPr>
    </w:p>
    <w:p w14:paraId="7FEDECB2">
      <w:pPr>
        <w:spacing w:line="380" w:lineRule="exact"/>
        <w:rPr>
          <w:rFonts w:hint="eastAsia"/>
          <w:color w:val="auto"/>
        </w:rPr>
      </w:pPr>
    </w:p>
    <w:p w14:paraId="2F7DC812">
      <w:pPr>
        <w:spacing w:line="380" w:lineRule="exact"/>
        <w:rPr>
          <w:rFonts w:hint="eastAsia"/>
          <w:color w:val="auto"/>
        </w:rPr>
      </w:pPr>
    </w:p>
    <w:p w14:paraId="10932B31">
      <w:pPr>
        <w:spacing w:line="380" w:lineRule="exact"/>
        <w:rPr>
          <w:rFonts w:hint="eastAsia"/>
          <w:color w:val="auto"/>
        </w:rPr>
      </w:pPr>
    </w:p>
    <w:p w14:paraId="34B8F3B2">
      <w:pPr>
        <w:rPr>
          <w:rFonts w:hint="eastAsia" w:ascii="仿宋_GB2312" w:eastAsia="仿宋_GB2312"/>
          <w:color w:val="auto"/>
          <w:sz w:val="28"/>
        </w:rPr>
      </w:pPr>
    </w:p>
    <w:p w14:paraId="705EC385">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14:paraId="3F347C23">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val="en-US" w:eastAsia="zh-CN"/>
        </w:rPr>
      </w:pPr>
      <w:r>
        <w:rPr>
          <w:rFonts w:hint="eastAsia" w:ascii="仿宋_GB2312" w:eastAsia="仿宋_GB2312"/>
          <w:b/>
          <w:bCs/>
          <w:color w:val="auto"/>
          <w:sz w:val="24"/>
          <w:lang w:eastAsia="zh-CN"/>
        </w:rPr>
        <w:t>附件</w:t>
      </w:r>
      <w:r>
        <w:rPr>
          <w:rFonts w:hint="eastAsia" w:ascii="仿宋_GB2312" w:eastAsia="仿宋_GB2312"/>
          <w:b/>
          <w:bCs/>
          <w:color w:val="auto"/>
          <w:sz w:val="24"/>
          <w:lang w:val="en-US" w:eastAsia="zh-CN"/>
        </w:rPr>
        <w:t>四</w:t>
      </w:r>
      <w:r>
        <w:rPr>
          <w:rFonts w:hint="eastAsia" w:ascii="仿宋_GB2312" w:eastAsia="仿宋_GB2312"/>
          <w:b/>
          <w:bCs/>
          <w:color w:val="auto"/>
          <w:sz w:val="24"/>
          <w:lang w:eastAsia="zh-CN"/>
        </w:rPr>
        <w:t>：</w:t>
      </w:r>
      <w:r>
        <w:rPr>
          <w:rFonts w:hint="eastAsia" w:ascii="仿宋_GB2312" w:eastAsia="仿宋_GB2312"/>
          <w:color w:val="auto"/>
          <w:sz w:val="24"/>
          <w:lang w:eastAsia="zh-CN"/>
        </w:rPr>
        <w:t>消防运维服务范围</w:t>
      </w:r>
    </w:p>
    <w:p w14:paraId="3D240D38">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val="en-US" w:eastAsia="zh-CN"/>
        </w:rPr>
      </w:pPr>
      <w:r>
        <w:rPr>
          <w:rFonts w:hint="eastAsia" w:ascii="仿宋_GB2312" w:eastAsia="仿宋_GB2312"/>
          <w:color w:val="auto"/>
          <w:sz w:val="24"/>
          <w:lang w:val="en-US" w:eastAsia="zh-CN"/>
        </w:rPr>
        <w:t>1.基本要求</w:t>
      </w:r>
    </w:p>
    <w:p w14:paraId="74C49205">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eastAsia" w:ascii="仿宋_GB2312" w:eastAsia="仿宋_GB2312"/>
          <w:color w:val="auto"/>
          <w:sz w:val="24"/>
          <w:lang w:val="en-US" w:eastAsia="zh-CN"/>
        </w:rPr>
      </w:pPr>
      <w:r>
        <w:rPr>
          <w:rFonts w:hint="default" w:ascii="仿宋_GB2312" w:eastAsia="仿宋_GB2312"/>
          <w:color w:val="auto"/>
          <w:sz w:val="24"/>
          <w:lang w:val="en-US" w:eastAsia="zh-CN"/>
        </w:rPr>
        <w:t>长治首钢生物质能源有限公司消防系统的日常运行、维护工作，主要</w:t>
      </w:r>
      <w:r>
        <w:rPr>
          <w:rFonts w:hint="eastAsia" w:ascii="仿宋_GB2312" w:eastAsia="仿宋_GB2312"/>
          <w:color w:val="auto"/>
          <w:sz w:val="24"/>
          <w:lang w:val="en-US" w:eastAsia="zh-CN"/>
        </w:rPr>
        <w:t>运维点位</w:t>
      </w:r>
      <w:r>
        <w:rPr>
          <w:rFonts w:hint="default" w:ascii="仿宋_GB2312" w:eastAsia="仿宋_GB2312"/>
          <w:color w:val="auto"/>
          <w:sz w:val="24"/>
          <w:lang w:val="en-US" w:eastAsia="zh-CN"/>
        </w:rPr>
        <w:t>包括火灾自动报警系统、消防联动控制系统、消防电话、应急插孔通话系统、气体灭火系统、防烟排烟系统消防联动、灭火器材、消火栓、消防水井内外管线及消防水供水控制系统等其他消防设备设施</w:t>
      </w:r>
      <w:r>
        <w:rPr>
          <w:rFonts w:hint="eastAsia" w:ascii="仿宋_GB2312" w:eastAsia="仿宋_GB2312"/>
          <w:color w:val="auto"/>
          <w:sz w:val="24"/>
          <w:lang w:val="en-US" w:eastAsia="zh-CN"/>
        </w:rPr>
        <w:t>。</w:t>
      </w:r>
    </w:p>
    <w:p w14:paraId="56865594">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eastAsia="zh-CN"/>
        </w:rPr>
      </w:pPr>
      <w:r>
        <w:rPr>
          <w:rFonts w:hint="eastAsia" w:ascii="仿宋_GB2312" w:eastAsia="仿宋_GB2312"/>
          <w:color w:val="auto"/>
          <w:sz w:val="24"/>
          <w:lang w:val="en-US" w:eastAsia="zh-CN"/>
        </w:rPr>
        <w:t>2.</w:t>
      </w:r>
      <w:r>
        <w:rPr>
          <w:rFonts w:hint="eastAsia" w:ascii="仿宋_GB2312" w:eastAsia="仿宋_GB2312"/>
          <w:color w:val="auto"/>
          <w:sz w:val="24"/>
          <w:lang w:eastAsia="zh-CN"/>
        </w:rPr>
        <w:t>人员配置</w:t>
      </w:r>
    </w:p>
    <w:p w14:paraId="53479CC1">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default" w:ascii="仿宋_GB2312" w:eastAsia="仿宋_GB2312"/>
          <w:color w:val="auto"/>
          <w:sz w:val="24"/>
          <w:lang w:val="en-US" w:eastAsia="zh-CN"/>
        </w:rPr>
      </w:pPr>
      <w:r>
        <w:rPr>
          <w:rFonts w:hint="eastAsia" w:ascii="仿宋_GB2312" w:eastAsia="仿宋_GB2312"/>
          <w:color w:val="auto"/>
          <w:sz w:val="24"/>
          <w:lang w:eastAsia="zh-CN"/>
        </w:rPr>
        <w:t>本项目以满足</w:t>
      </w:r>
      <w:r>
        <w:rPr>
          <w:rFonts w:hint="eastAsia" w:ascii="仿宋_GB2312" w:eastAsia="仿宋_GB2312"/>
          <w:color w:val="auto"/>
          <w:sz w:val="24"/>
          <w:lang w:val="en-US" w:eastAsia="zh-CN"/>
        </w:rPr>
        <w:t>运维</w:t>
      </w:r>
      <w:r>
        <w:rPr>
          <w:rFonts w:hint="eastAsia" w:ascii="仿宋_GB2312" w:eastAsia="仿宋_GB2312"/>
          <w:color w:val="auto"/>
          <w:sz w:val="24"/>
          <w:lang w:eastAsia="zh-CN"/>
        </w:rPr>
        <w:t>为基准，</w:t>
      </w:r>
      <w:r>
        <w:rPr>
          <w:rFonts w:hint="eastAsia" w:ascii="仿宋_GB2312" w:eastAsia="仿宋_GB2312"/>
          <w:color w:val="auto"/>
          <w:sz w:val="24"/>
          <w:lang w:val="en-US" w:eastAsia="zh-CN"/>
        </w:rPr>
        <w:t>需双人24小时上岗，均需持有</w:t>
      </w:r>
      <w:r>
        <w:rPr>
          <w:rFonts w:hint="eastAsia" w:ascii="仿宋_GB2312" w:hAnsi="仿宋" w:eastAsia="仿宋_GB2312"/>
          <w:color w:val="auto"/>
          <w:spacing w:val="-10"/>
          <w:kern w:val="0"/>
          <w:sz w:val="24"/>
          <w:lang w:val="en-US" w:eastAsia="zh-CN"/>
        </w:rPr>
        <w:t>消防设施操作员或建（构）筑物消防员职业资格证书</w:t>
      </w:r>
      <w:r>
        <w:rPr>
          <w:rFonts w:hint="eastAsia" w:ascii="仿宋_GB2312" w:eastAsia="仿宋_GB2312"/>
          <w:color w:val="auto"/>
          <w:sz w:val="24"/>
          <w:lang w:val="en-US" w:eastAsia="zh-CN"/>
        </w:rPr>
        <w:t>。</w:t>
      </w:r>
    </w:p>
    <w:p w14:paraId="2237D95E">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eastAsia="zh-CN"/>
        </w:rPr>
      </w:pPr>
      <w:r>
        <w:rPr>
          <w:rFonts w:hint="eastAsia" w:ascii="仿宋_GB2312" w:eastAsia="仿宋_GB2312"/>
          <w:color w:val="auto"/>
          <w:sz w:val="24"/>
          <w:lang w:val="en-US" w:eastAsia="zh-CN"/>
        </w:rPr>
        <w:t>3.</w:t>
      </w:r>
      <w:r>
        <w:rPr>
          <w:rFonts w:hint="eastAsia" w:ascii="仿宋_GB2312" w:eastAsia="仿宋_GB2312"/>
          <w:color w:val="auto"/>
          <w:sz w:val="24"/>
          <w:lang w:eastAsia="zh-CN"/>
        </w:rPr>
        <w:t>制度管理</w:t>
      </w:r>
    </w:p>
    <w:p w14:paraId="552DF0BF">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default" w:ascii="仿宋_GB2312" w:eastAsia="仿宋_GB2312"/>
          <w:color w:val="auto"/>
          <w:sz w:val="24"/>
          <w:lang w:val="en-US" w:eastAsia="zh-CN"/>
        </w:rPr>
      </w:pPr>
      <w:r>
        <w:rPr>
          <w:rFonts w:hint="eastAsia" w:ascii="仿宋_GB2312" w:eastAsia="仿宋_GB2312"/>
          <w:color w:val="auto"/>
          <w:sz w:val="24"/>
          <w:lang w:val="en-US" w:eastAsia="zh-CN"/>
        </w:rPr>
        <w:t>消防中控室运维应执行《消防控制室通用技术要求》、《中华人民共和国消防安全法》等法律法规的要求，建立防火巡检台账、定期试验台账等。</w:t>
      </w:r>
    </w:p>
    <w:p w14:paraId="78C565B2">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eastAsia="zh-CN"/>
        </w:rPr>
      </w:pPr>
      <w:r>
        <w:rPr>
          <w:rFonts w:hint="eastAsia" w:ascii="仿宋_GB2312" w:eastAsia="仿宋_GB2312"/>
          <w:color w:val="auto"/>
          <w:sz w:val="24"/>
          <w:lang w:val="en-US" w:eastAsia="zh-CN"/>
        </w:rPr>
        <w:t>4.</w:t>
      </w:r>
      <w:r>
        <w:rPr>
          <w:rFonts w:hint="eastAsia" w:ascii="仿宋_GB2312" w:eastAsia="仿宋_GB2312"/>
          <w:color w:val="auto"/>
          <w:sz w:val="24"/>
          <w:lang w:eastAsia="zh-CN"/>
        </w:rPr>
        <w:t>工器具要求</w:t>
      </w:r>
    </w:p>
    <w:p w14:paraId="223E9320">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eastAsia" w:ascii="仿宋_GB2312" w:eastAsia="仿宋_GB2312"/>
          <w:color w:val="auto"/>
          <w:sz w:val="24"/>
          <w:lang w:eastAsia="zh-CN"/>
        </w:rPr>
      </w:pPr>
      <w:r>
        <w:rPr>
          <w:rFonts w:hint="eastAsia" w:ascii="仿宋_GB2312" w:eastAsia="仿宋_GB2312"/>
          <w:color w:val="auto"/>
          <w:sz w:val="24"/>
          <w:lang w:eastAsia="zh-CN"/>
        </w:rPr>
        <w:t>（1）运</w:t>
      </w:r>
      <w:r>
        <w:rPr>
          <w:rFonts w:hint="eastAsia" w:ascii="仿宋_GB2312" w:eastAsia="仿宋_GB2312"/>
          <w:color w:val="auto"/>
          <w:sz w:val="24"/>
          <w:lang w:val="en-US" w:eastAsia="zh-CN"/>
        </w:rPr>
        <w:t>维</w:t>
      </w:r>
      <w:r>
        <w:rPr>
          <w:rFonts w:hint="eastAsia" w:ascii="仿宋_GB2312" w:eastAsia="仿宋_GB2312"/>
          <w:color w:val="auto"/>
          <w:sz w:val="24"/>
          <w:lang w:eastAsia="zh-CN"/>
        </w:rPr>
        <w:t>单位自行配备日常</w:t>
      </w:r>
      <w:r>
        <w:rPr>
          <w:rFonts w:hint="eastAsia" w:ascii="仿宋_GB2312" w:eastAsia="仿宋_GB2312"/>
          <w:color w:val="auto"/>
          <w:sz w:val="24"/>
          <w:lang w:val="en-US" w:eastAsia="zh-CN"/>
        </w:rPr>
        <w:t>所用</w:t>
      </w:r>
      <w:r>
        <w:rPr>
          <w:rFonts w:hint="eastAsia" w:ascii="仿宋_GB2312" w:eastAsia="仿宋_GB2312"/>
          <w:color w:val="auto"/>
          <w:sz w:val="24"/>
          <w:lang w:eastAsia="zh-CN"/>
        </w:rPr>
        <w:t>工器具如螺丝刀、</w:t>
      </w:r>
      <w:r>
        <w:rPr>
          <w:rFonts w:hint="eastAsia" w:ascii="仿宋_GB2312" w:eastAsia="仿宋_GB2312"/>
          <w:color w:val="auto"/>
          <w:sz w:val="24"/>
          <w:lang w:val="en-US" w:eastAsia="zh-CN"/>
        </w:rPr>
        <w:t>扳手、安全带</w:t>
      </w:r>
      <w:r>
        <w:rPr>
          <w:rFonts w:hint="eastAsia" w:ascii="仿宋_GB2312" w:eastAsia="仿宋_GB2312"/>
          <w:color w:val="auto"/>
          <w:sz w:val="24"/>
          <w:lang w:eastAsia="zh-CN"/>
        </w:rPr>
        <w:t>等常用工具等。</w:t>
      </w:r>
    </w:p>
    <w:p w14:paraId="2FD82B58">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eastAsia" w:ascii="仿宋_GB2312" w:eastAsia="仿宋_GB2312"/>
          <w:color w:val="auto"/>
          <w:sz w:val="24"/>
          <w:lang w:eastAsia="zh-CN"/>
        </w:rPr>
      </w:pPr>
      <w:r>
        <w:rPr>
          <w:rFonts w:hint="eastAsia" w:ascii="仿宋_GB2312" w:eastAsia="仿宋_GB2312"/>
          <w:color w:val="auto"/>
          <w:sz w:val="24"/>
          <w:lang w:eastAsia="zh-CN"/>
        </w:rPr>
        <w:t>（2）运</w:t>
      </w:r>
      <w:r>
        <w:rPr>
          <w:rFonts w:hint="eastAsia" w:ascii="仿宋_GB2312" w:eastAsia="仿宋_GB2312"/>
          <w:color w:val="auto"/>
          <w:sz w:val="24"/>
          <w:lang w:val="en-US" w:eastAsia="zh-CN"/>
        </w:rPr>
        <w:t>维</w:t>
      </w:r>
      <w:r>
        <w:rPr>
          <w:rFonts w:hint="eastAsia" w:ascii="仿宋_GB2312" w:eastAsia="仿宋_GB2312"/>
          <w:color w:val="auto"/>
          <w:sz w:val="24"/>
          <w:lang w:eastAsia="zh-CN"/>
        </w:rPr>
        <w:t>单位自行配备</w:t>
      </w:r>
      <w:r>
        <w:rPr>
          <w:rFonts w:hint="eastAsia" w:ascii="仿宋_GB2312" w:eastAsia="仿宋_GB2312"/>
          <w:color w:val="auto"/>
          <w:sz w:val="24"/>
          <w:lang w:val="en-US" w:eastAsia="zh-CN"/>
        </w:rPr>
        <w:t>劳保用品、防护服、</w:t>
      </w:r>
      <w:r>
        <w:rPr>
          <w:rFonts w:hint="eastAsia" w:ascii="仿宋_GB2312" w:eastAsia="仿宋_GB2312"/>
          <w:color w:val="auto"/>
          <w:sz w:val="24"/>
          <w:lang w:eastAsia="zh-CN"/>
        </w:rPr>
        <w:t>巡检气体检测仪、有机防毒面具、防爆手电筒、静电消除仪等安全防护用品。</w:t>
      </w:r>
    </w:p>
    <w:p w14:paraId="400C6F5D">
      <w:pPr>
        <w:keepNext w:val="0"/>
        <w:keepLines w:val="0"/>
        <w:pageBreakBefore w:val="0"/>
        <w:widowControl/>
        <w:kinsoku/>
        <w:wordWrap/>
        <w:overflowPunct/>
        <w:topLinePunct w:val="0"/>
        <w:autoSpaceDE/>
        <w:autoSpaceDN/>
        <w:bidi w:val="0"/>
        <w:spacing w:line="560" w:lineRule="exact"/>
        <w:jc w:val="left"/>
        <w:textAlignment w:val="auto"/>
        <w:rPr>
          <w:rFonts w:hint="default" w:ascii="仿宋_GB2312" w:eastAsia="仿宋_GB2312"/>
          <w:color w:val="auto"/>
          <w:sz w:val="24"/>
          <w:lang w:val="en-US" w:eastAsia="zh-CN"/>
        </w:rPr>
      </w:pPr>
      <w:r>
        <w:rPr>
          <w:rFonts w:hint="eastAsia" w:ascii="仿宋_GB2312" w:eastAsia="仿宋_GB2312"/>
          <w:color w:val="auto"/>
          <w:sz w:val="24"/>
          <w:lang w:val="en-US" w:eastAsia="zh-CN"/>
        </w:rPr>
        <w:t>5</w:t>
      </w:r>
      <w:r>
        <w:rPr>
          <w:rFonts w:hint="eastAsia" w:ascii="仿宋_GB2312" w:eastAsia="仿宋_GB2312"/>
          <w:color w:val="auto"/>
          <w:sz w:val="24"/>
          <w:lang w:eastAsia="zh-CN"/>
        </w:rPr>
        <w:t>、</w:t>
      </w:r>
      <w:r>
        <w:rPr>
          <w:rFonts w:hint="eastAsia" w:ascii="仿宋_GB2312" w:eastAsia="仿宋_GB2312"/>
          <w:color w:val="auto"/>
          <w:sz w:val="24"/>
          <w:lang w:val="en-US" w:eastAsia="zh-CN"/>
        </w:rPr>
        <w:t>计</w:t>
      </w:r>
      <w:r>
        <w:rPr>
          <w:rFonts w:hint="eastAsia" w:ascii="仿宋_GB2312" w:eastAsia="仿宋_GB2312"/>
          <w:color w:val="auto"/>
          <w:sz w:val="24"/>
          <w:lang w:eastAsia="zh-CN"/>
        </w:rPr>
        <w:t>费模式：</w:t>
      </w:r>
      <w:r>
        <w:rPr>
          <w:rFonts w:hint="eastAsia" w:ascii="仿宋_GB2312" w:eastAsia="仿宋_GB2312"/>
          <w:color w:val="auto"/>
          <w:sz w:val="24"/>
          <w:lang w:val="en-US" w:eastAsia="zh-CN"/>
        </w:rPr>
        <w:t>按月支付运行服务费，为了保证正常运行，单次组件价格金额在200元以内的材料由乙方负责提供，单次组件金额在200元以上的由甲方提供。</w:t>
      </w:r>
    </w:p>
    <w:p w14:paraId="41B660C4">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eastAsia="仿宋_GB2312"/>
          <w:color w:val="auto"/>
          <w:sz w:val="24"/>
          <w:lang w:eastAsia="zh-CN"/>
        </w:rPr>
      </w:pPr>
      <w:r>
        <w:rPr>
          <w:rFonts w:hint="eastAsia" w:ascii="仿宋_GB2312" w:eastAsia="仿宋_GB2312"/>
          <w:color w:val="auto"/>
          <w:sz w:val="24"/>
          <w:lang w:val="en-US" w:eastAsia="zh-CN"/>
        </w:rPr>
        <w:t>6</w:t>
      </w:r>
      <w:r>
        <w:rPr>
          <w:rFonts w:hint="eastAsia" w:ascii="仿宋_GB2312" w:eastAsia="仿宋_GB2312"/>
          <w:color w:val="auto"/>
          <w:sz w:val="24"/>
          <w:lang w:eastAsia="zh-CN"/>
        </w:rPr>
        <w:t>、其他</w:t>
      </w:r>
    </w:p>
    <w:p w14:paraId="1D897046">
      <w:pPr>
        <w:keepNext w:val="0"/>
        <w:keepLines w:val="0"/>
        <w:pageBreakBefore w:val="0"/>
        <w:widowControl/>
        <w:kinsoku/>
        <w:wordWrap/>
        <w:overflowPunct/>
        <w:topLinePunct w:val="0"/>
        <w:autoSpaceDE/>
        <w:autoSpaceDN/>
        <w:bidi w:val="0"/>
        <w:spacing w:line="560" w:lineRule="exact"/>
        <w:ind w:firstLine="480" w:firstLineChars="200"/>
        <w:jc w:val="left"/>
        <w:textAlignment w:val="auto"/>
        <w:rPr>
          <w:rFonts w:hint="eastAsia" w:ascii="仿宋_GB2312" w:eastAsia="仿宋_GB2312"/>
          <w:color w:val="auto"/>
          <w:sz w:val="24"/>
          <w:lang w:eastAsia="zh-CN"/>
        </w:rPr>
      </w:pPr>
      <w:r>
        <w:rPr>
          <w:rFonts w:hint="eastAsia" w:ascii="仿宋_GB2312" w:eastAsia="仿宋_GB2312"/>
          <w:color w:val="auto"/>
          <w:sz w:val="24"/>
          <w:lang w:eastAsia="zh-CN"/>
        </w:rPr>
        <w:t>从正式接手</w:t>
      </w:r>
      <w:r>
        <w:rPr>
          <w:rFonts w:hint="eastAsia" w:ascii="仿宋_GB2312" w:eastAsia="仿宋_GB2312"/>
          <w:color w:val="auto"/>
          <w:sz w:val="24"/>
          <w:lang w:val="en-US" w:eastAsia="zh-CN"/>
        </w:rPr>
        <w:t>消防系统</w:t>
      </w:r>
      <w:r>
        <w:rPr>
          <w:rFonts w:hint="eastAsia" w:ascii="仿宋_GB2312" w:eastAsia="仿宋_GB2312"/>
          <w:color w:val="auto"/>
          <w:sz w:val="24"/>
          <w:lang w:eastAsia="zh-CN"/>
        </w:rPr>
        <w:t>运</w:t>
      </w:r>
      <w:r>
        <w:rPr>
          <w:rFonts w:hint="eastAsia" w:ascii="仿宋_GB2312" w:eastAsia="仿宋_GB2312"/>
          <w:color w:val="auto"/>
          <w:sz w:val="24"/>
          <w:lang w:val="en-US" w:eastAsia="zh-CN"/>
        </w:rPr>
        <w:t>维</w:t>
      </w:r>
      <w:r>
        <w:rPr>
          <w:rFonts w:hint="eastAsia" w:ascii="仿宋_GB2312" w:eastAsia="仿宋_GB2312"/>
          <w:color w:val="auto"/>
          <w:sz w:val="24"/>
          <w:lang w:eastAsia="zh-CN"/>
        </w:rPr>
        <w:t>日开始，在运营期</w:t>
      </w:r>
      <w:r>
        <w:rPr>
          <w:rFonts w:hint="eastAsia" w:ascii="仿宋_GB2312" w:eastAsia="仿宋_GB2312"/>
          <w:color w:val="auto"/>
          <w:sz w:val="24"/>
          <w:lang w:val="en-US" w:eastAsia="zh-CN"/>
        </w:rPr>
        <w:t>内</w:t>
      </w:r>
      <w:r>
        <w:rPr>
          <w:rFonts w:hint="eastAsia" w:ascii="仿宋_GB2312" w:eastAsia="仿宋_GB2312"/>
          <w:color w:val="auto"/>
          <w:sz w:val="24"/>
          <w:lang w:eastAsia="zh-CN"/>
        </w:rPr>
        <w:t>乙方存在重大过错，导致</w:t>
      </w:r>
      <w:r>
        <w:rPr>
          <w:rFonts w:hint="eastAsia" w:ascii="仿宋_GB2312" w:eastAsia="仿宋_GB2312"/>
          <w:color w:val="auto"/>
          <w:sz w:val="24"/>
          <w:lang w:val="en-US" w:eastAsia="zh-CN"/>
        </w:rPr>
        <w:t>消防</w:t>
      </w:r>
      <w:r>
        <w:rPr>
          <w:rFonts w:hint="eastAsia" w:ascii="仿宋_GB2312" w:eastAsia="仿宋_GB2312"/>
          <w:color w:val="auto"/>
          <w:sz w:val="24"/>
          <w:lang w:eastAsia="zh-CN"/>
        </w:rPr>
        <w:t>处罚或其他较大损失的，</w:t>
      </w:r>
      <w:r>
        <w:rPr>
          <w:rFonts w:hint="eastAsia" w:ascii="仿宋_GB2312" w:eastAsia="仿宋_GB2312"/>
          <w:color w:val="auto"/>
          <w:sz w:val="24"/>
          <w:lang w:val="en-US" w:eastAsia="zh-CN"/>
        </w:rPr>
        <w:t>甲方有权要求乙方进行赔偿</w:t>
      </w:r>
      <w:r>
        <w:rPr>
          <w:rFonts w:hint="eastAsia" w:ascii="仿宋_GB2312" w:eastAsia="仿宋_GB2312"/>
          <w:color w:val="auto"/>
          <w:sz w:val="24"/>
          <w:lang w:eastAsia="zh-CN"/>
        </w:rPr>
        <w:t>。</w:t>
      </w:r>
    </w:p>
    <w:p w14:paraId="6941576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14:paraId="2B67C81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14:paraId="4143572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14:paraId="629581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14:paraId="741FF617">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五</w:t>
      </w:r>
      <w:r>
        <w:rPr>
          <w:rFonts w:hint="eastAsia" w:ascii="仿宋_GB2312" w:hAnsi="Arial" w:eastAsia="仿宋_GB2312"/>
          <w:b/>
          <w:color w:val="auto"/>
          <w:sz w:val="28"/>
          <w:szCs w:val="28"/>
        </w:rPr>
        <w:t>：</w:t>
      </w:r>
    </w:p>
    <w:p w14:paraId="6B2A32AB">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14:paraId="3C4D3348">
      <w:pPr>
        <w:rPr>
          <w:rFonts w:hint="eastAsia" w:ascii="仿宋" w:hAnsi="仿宋" w:eastAsia="仿宋" w:cs="仿宋"/>
          <w:color w:val="auto"/>
          <w:sz w:val="30"/>
          <w:szCs w:val="30"/>
        </w:rPr>
      </w:pPr>
    </w:p>
    <w:p w14:paraId="12C0864C">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14:paraId="6891424C">
      <w:pPr>
        <w:spacing w:line="560" w:lineRule="exact"/>
        <w:ind w:firstLine="600" w:firstLineChars="200"/>
        <w:jc w:val="both"/>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非常高兴参加贵公司组织的消防运维</w:t>
      </w:r>
      <w:r>
        <w:rPr>
          <w:rFonts w:hint="eastAsia" w:ascii="仿宋_GB2312" w:hAnsi="仿宋" w:eastAsia="仿宋_GB2312" w:cs="仿宋"/>
          <w:color w:val="auto"/>
          <w:sz w:val="30"/>
          <w:szCs w:val="30"/>
          <w:lang w:val="en-US" w:eastAsia="zh-CN"/>
        </w:rPr>
        <w:t>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2024-087</w:t>
      </w:r>
      <w:r>
        <w:rPr>
          <w:rFonts w:hint="eastAsia" w:ascii="仿宋_GB2312" w:hAnsi="仿宋" w:eastAsia="仿宋_GB2312" w:cs="仿宋"/>
          <w:color w:val="auto"/>
          <w:sz w:val="30"/>
          <w:szCs w:val="30"/>
        </w:rPr>
        <w:t>）招投标项目。</w:t>
      </w:r>
    </w:p>
    <w:p w14:paraId="41559578">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14:paraId="330D6346">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14:paraId="3DB8F607">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2729A097">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14:paraId="2CD1BCCA">
      <w:pPr>
        <w:rPr>
          <w:rFonts w:hint="eastAsia" w:ascii="仿宋_GB2312" w:hAnsi="仿宋" w:eastAsia="仿宋_GB2312" w:cs="仿宋"/>
          <w:color w:val="auto"/>
          <w:sz w:val="30"/>
          <w:szCs w:val="30"/>
        </w:rPr>
      </w:pPr>
    </w:p>
    <w:p w14:paraId="379E620C">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14:paraId="03B4F7A7">
      <w:pPr>
        <w:ind w:firstLine="7200" w:firstLineChars="2400"/>
        <w:rPr>
          <w:rFonts w:hint="eastAsia" w:ascii="仿宋_GB2312" w:hAnsi="仿宋" w:eastAsia="仿宋_GB2312" w:cs="仿宋"/>
          <w:color w:val="auto"/>
          <w:sz w:val="30"/>
          <w:szCs w:val="30"/>
        </w:rPr>
      </w:pPr>
    </w:p>
    <w:p w14:paraId="6FD184D5">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14:paraId="64A902C6">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14:paraId="71C92384">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14:paraId="2B4DC4F4">
      <w:pPr>
        <w:rPr>
          <w:rFonts w:hint="eastAsia" w:ascii="仿宋_GB2312" w:hAnsi="仿宋" w:eastAsia="仿宋_GB2312" w:cs="仿宋"/>
          <w:color w:val="auto"/>
          <w:sz w:val="30"/>
          <w:szCs w:val="30"/>
        </w:rPr>
      </w:pPr>
    </w:p>
    <w:p w14:paraId="1500BCC4">
      <w:pPr>
        <w:rPr>
          <w:rFonts w:hint="eastAsia" w:ascii="仿宋_GB2312" w:hAnsi="仿宋" w:eastAsia="仿宋_GB2312" w:cs="仿宋"/>
          <w:color w:val="auto"/>
          <w:sz w:val="30"/>
          <w:szCs w:val="30"/>
        </w:rPr>
      </w:pPr>
    </w:p>
    <w:p w14:paraId="2BC17C4B">
      <w:pPr>
        <w:rPr>
          <w:rFonts w:hint="eastAsia" w:ascii="仿宋_GB2312" w:hAnsi="仿宋" w:eastAsia="仿宋_GB2312" w:cs="仿宋"/>
          <w:color w:val="auto"/>
          <w:sz w:val="30"/>
          <w:szCs w:val="30"/>
        </w:rPr>
      </w:pPr>
    </w:p>
    <w:p w14:paraId="481A3C5B">
      <w:pPr>
        <w:rPr>
          <w:rFonts w:hint="eastAsia" w:ascii="仿宋_GB2312" w:hAnsi="仿宋" w:eastAsia="仿宋_GB2312" w:cs="仿宋"/>
          <w:color w:val="auto"/>
          <w:sz w:val="30"/>
          <w:szCs w:val="30"/>
        </w:rPr>
      </w:pPr>
    </w:p>
    <w:p w14:paraId="3B695DB3">
      <w:pPr>
        <w:rPr>
          <w:rFonts w:hint="eastAsia" w:ascii="仿宋_GB2312" w:hAnsi="仿宋" w:eastAsia="仿宋_GB2312" w:cs="仿宋"/>
          <w:color w:val="auto"/>
          <w:sz w:val="30"/>
          <w:szCs w:val="30"/>
        </w:rPr>
      </w:pPr>
    </w:p>
    <w:p w14:paraId="10B1A2AA">
      <w:pPr>
        <w:rPr>
          <w:rFonts w:hint="eastAsia" w:ascii="仿宋_GB2312" w:hAnsi="仿宋" w:eastAsia="仿宋_GB2312" w:cs="仿宋"/>
          <w:color w:val="auto"/>
          <w:sz w:val="30"/>
          <w:szCs w:val="30"/>
          <w:lang w:val="en-US" w:eastAsia="zh-CN"/>
        </w:rPr>
      </w:pPr>
    </w:p>
    <w:p w14:paraId="002A63AC">
      <w:pPr>
        <w:jc w:val="left"/>
        <w:rPr>
          <w:rFonts w:hint="eastAsia" w:ascii="仿宋_GB2312" w:hAnsi="宋体" w:eastAsia="仿宋_GB2312" w:cs="仿宋"/>
          <w:b/>
          <w:bCs/>
          <w:color w:val="auto"/>
          <w:sz w:val="28"/>
          <w:szCs w:val="28"/>
        </w:rPr>
      </w:pPr>
    </w:p>
    <w:p w14:paraId="099583EB">
      <w:pPr>
        <w:jc w:val="left"/>
        <w:rPr>
          <w:rFonts w:hint="eastAsia" w:ascii="仿宋_GB2312" w:hAnsi="宋体" w:eastAsia="仿宋_GB2312" w:cs="仿宋"/>
          <w:b/>
          <w:bCs/>
          <w:color w:val="auto"/>
          <w:sz w:val="28"/>
          <w:szCs w:val="28"/>
        </w:rPr>
      </w:pPr>
    </w:p>
    <w:p w14:paraId="24D61FF0">
      <w:pPr>
        <w:jc w:val="left"/>
        <w:rPr>
          <w:rFonts w:ascii="仿宋_GB2312" w:hAnsi="宋体" w:eastAsia="仿宋_GB2312" w:cs="仿宋"/>
          <w:b/>
          <w:bCs/>
          <w:color w:val="auto"/>
          <w:sz w:val="28"/>
          <w:szCs w:val="28"/>
        </w:rPr>
      </w:pPr>
      <w:r>
        <w:rPr>
          <w:rFonts w:hint="eastAsia" w:ascii="仿宋_GB2312" w:hAnsi="宋体" w:eastAsia="仿宋_GB2312" w:cs="仿宋"/>
          <w:b/>
          <w:bCs/>
          <w:color w:val="auto"/>
          <w:sz w:val="28"/>
          <w:szCs w:val="28"/>
        </w:rPr>
        <w:t>附件</w:t>
      </w:r>
      <w:r>
        <w:rPr>
          <w:rFonts w:hint="eastAsia" w:ascii="仿宋_GB2312" w:hAnsi="宋体" w:eastAsia="仿宋_GB2312" w:cs="仿宋"/>
          <w:b/>
          <w:bCs/>
          <w:color w:val="auto"/>
          <w:sz w:val="28"/>
          <w:szCs w:val="28"/>
          <w:lang w:val="en-US" w:eastAsia="zh-CN"/>
        </w:rPr>
        <w:t>六</w:t>
      </w:r>
      <w:r>
        <w:rPr>
          <w:rFonts w:hint="eastAsia" w:ascii="仿宋_GB2312" w:hAnsi="宋体" w:eastAsia="仿宋_GB2312" w:cs="仿宋"/>
          <w:b/>
          <w:bCs/>
          <w:color w:val="auto"/>
          <w:sz w:val="28"/>
          <w:szCs w:val="28"/>
        </w:rPr>
        <w:t>：</w:t>
      </w:r>
    </w:p>
    <w:p w14:paraId="107D41CE">
      <w:pPr>
        <w:pStyle w:val="8"/>
        <w:spacing w:line="560" w:lineRule="exact"/>
        <w:jc w:val="center"/>
        <w:rPr>
          <w:rFonts w:ascii="华文中宋" w:hAnsi="华文中宋" w:eastAsia="华文中宋" w:cs="宋体"/>
          <w:bCs/>
          <w:color w:val="FF0000"/>
          <w:w w:val="80"/>
          <w:sz w:val="56"/>
          <w:szCs w:val="56"/>
        </w:rPr>
      </w:pPr>
      <w:r>
        <w:rPr>
          <w:rFonts w:hint="eastAsia" w:ascii="华文中宋" w:hAnsi="华文中宋" w:eastAsia="华文中宋" w:cs="宋体"/>
          <w:bCs/>
          <w:color w:val="FF0000"/>
          <w:w w:val="80"/>
          <w:sz w:val="56"/>
          <w:szCs w:val="56"/>
        </w:rPr>
        <w:t>首钢长治钢铁有限公司</w:t>
      </w:r>
    </w:p>
    <w:p w14:paraId="173F7FD5">
      <w:pPr>
        <w:pStyle w:val="8"/>
        <w:spacing w:line="560" w:lineRule="exact"/>
        <w:jc w:val="center"/>
        <w:rPr>
          <w:rFonts w:ascii="华文中宋" w:hAnsi="华文中宋" w:eastAsia="华文中宋" w:cs="宋体"/>
          <w:bCs/>
          <w:color w:val="FF0000"/>
          <w:w w:val="80"/>
          <w:sz w:val="56"/>
          <w:szCs w:val="56"/>
        </w:rPr>
      </w:pPr>
      <w:r>
        <w:rPr>
          <w:rFonts w:hint="eastAsia" w:ascii="华文中宋" w:hAnsi="华文中宋" w:eastAsia="华文中宋" w:cs="宋体"/>
          <w:bCs/>
          <w:color w:val="FF0000"/>
          <w:w w:val="80"/>
          <w:sz w:val="56"/>
          <w:szCs w:val="56"/>
        </w:rPr>
        <w:t>法务审计处文件</w:t>
      </w:r>
    </w:p>
    <w:p w14:paraId="17B0E032">
      <w:pPr>
        <w:pStyle w:val="8"/>
        <w:spacing w:line="560" w:lineRule="exact"/>
        <w:jc w:val="center"/>
        <w:rPr>
          <w:rFonts w:ascii="仿宋_GB2312" w:hAnsi="宋体" w:eastAsia="仿宋_GB2312" w:cs="宋体"/>
          <w:color w:val="auto"/>
          <w:sz w:val="32"/>
        </w:rPr>
      </w:pPr>
      <w:bookmarkStart w:id="1" w:name="string1"/>
      <w:bookmarkEnd w:id="1"/>
      <w:bookmarkStart w:id="2" w:name="文号"/>
      <w:r>
        <w:rPr>
          <w:rFonts w:hint="eastAsia" w:ascii="仿宋_GB2312" w:hAnsi="宋体" w:eastAsia="仿宋_GB2312" w:cs="宋体"/>
          <w:color w:val="auto"/>
          <w:sz w:val="32"/>
        </w:rPr>
        <w:t>长钢法审发〔2019〕76号</w:t>
      </w:r>
      <w:bookmarkEnd w:id="2"/>
    </w:p>
    <w:p w14:paraId="5F35E7FE">
      <w:pPr>
        <w:pStyle w:val="8"/>
        <w:spacing w:line="560" w:lineRule="exact"/>
        <w:jc w:val="center"/>
        <w:rPr>
          <w:rFonts w:hAnsi="宋体" w:cs="宋体"/>
          <w:b/>
          <w:bCs/>
          <w:color w:val="auto"/>
          <w:sz w:val="36"/>
        </w:rPr>
      </w:pPr>
      <w:r>
        <w:rPr>
          <w:color w:val="auto"/>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202565</wp:posOffset>
                </wp:positionV>
                <wp:extent cx="5485765" cy="635"/>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5485765" cy="635"/>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margin-left:-8.95pt;margin-top:15.95pt;height:0.05pt;width:431.95pt;z-index:251659264;mso-width-relative:page;mso-height-relative:page;" filled="f" stroked="t" coordsize="21600,21600" o:gfxdata="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XiVxi2gAAAAkBAAAPAAAAAAAAAAEAIAAAACIAAABkcnMvZG93bnJldi54bWxQSwECFAAU&#10;AAAACACHTuJAQebSQu8BAAC9AwAADgAAAAAAAAABACAAAAApAQAAZHJzL2Uyb0RvYy54bWxQSwUG&#10;AAAAAAYABgBZAQAAigUAAAAA&#10;">
                <v:fill on="f" focussize="0,0"/>
                <v:stroke weight="1.5pt" color="#FF0000" joinstyle="round"/>
                <v:imagedata o:title=""/>
                <o:lock v:ext="edit" aspectratio="f"/>
              </v:line>
            </w:pict>
          </mc:Fallback>
        </mc:AlternateContent>
      </w:r>
    </w:p>
    <w:p w14:paraId="434D88FE">
      <w:pPr>
        <w:pStyle w:val="8"/>
        <w:spacing w:line="560" w:lineRule="exact"/>
        <w:jc w:val="center"/>
        <w:rPr>
          <w:rFonts w:hAnsi="宋体" w:cs="宋体"/>
          <w:b/>
          <w:bCs/>
          <w:color w:val="auto"/>
          <w:sz w:val="44"/>
          <w:szCs w:val="44"/>
        </w:rPr>
      </w:pPr>
      <w:bookmarkStart w:id="3" w:name="发文标题"/>
      <w:r>
        <w:rPr>
          <w:rFonts w:hint="eastAsia" w:hAnsi="宋体" w:cs="宋体"/>
          <w:b/>
          <w:bCs/>
          <w:color w:val="auto"/>
          <w:sz w:val="44"/>
          <w:szCs w:val="44"/>
        </w:rPr>
        <w:t>法务审计处关于规范投标单位资质审核等有关事项的通知</w:t>
      </w:r>
      <w:bookmarkEnd w:id="3"/>
      <w:bookmarkStart w:id="4" w:name="subject"/>
      <w:bookmarkEnd w:id="4"/>
    </w:p>
    <w:p w14:paraId="77DF57A8">
      <w:pPr>
        <w:widowControl/>
        <w:spacing w:line="500" w:lineRule="exact"/>
        <w:jc w:val="left"/>
        <w:rPr>
          <w:rFonts w:ascii="仿宋_GB2312" w:eastAsia="仿宋_GB2312"/>
          <w:color w:val="auto"/>
          <w:sz w:val="32"/>
        </w:rPr>
      </w:pPr>
      <w:r>
        <w:rPr>
          <w:rFonts w:hint="eastAsia" w:ascii="仿宋_GB2312" w:eastAsia="仿宋_GB2312"/>
          <w:color w:val="auto"/>
          <w:sz w:val="32"/>
        </w:rPr>
        <w:t>公司</w:t>
      </w:r>
      <w:r>
        <w:rPr>
          <w:rFonts w:ascii="仿宋_GB2312" w:eastAsia="仿宋_GB2312"/>
          <w:color w:val="auto"/>
          <w:sz w:val="32"/>
        </w:rPr>
        <w:t>各</w:t>
      </w:r>
      <w:r>
        <w:rPr>
          <w:rFonts w:hint="eastAsia" w:ascii="仿宋_GB2312" w:eastAsia="仿宋_GB2312"/>
          <w:color w:val="auto"/>
          <w:sz w:val="32"/>
        </w:rPr>
        <w:t>相关</w:t>
      </w:r>
      <w:r>
        <w:rPr>
          <w:rFonts w:ascii="仿宋_GB2312" w:eastAsia="仿宋_GB2312"/>
          <w:color w:val="auto"/>
          <w:sz w:val="32"/>
        </w:rPr>
        <w:t>单位：</w:t>
      </w:r>
    </w:p>
    <w:p w14:paraId="15C5F1FA">
      <w:pPr>
        <w:widowControl/>
        <w:spacing w:line="500" w:lineRule="exact"/>
        <w:ind w:firstLine="660"/>
        <w:jc w:val="left"/>
        <w:rPr>
          <w:rFonts w:ascii="仿宋_GB2312" w:eastAsia="仿宋_GB2312"/>
          <w:color w:val="auto"/>
          <w:sz w:val="32"/>
        </w:rPr>
      </w:pPr>
      <w:r>
        <w:rPr>
          <w:rFonts w:hint="eastAsia" w:ascii="仿宋_GB2312" w:eastAsia="仿宋_GB2312"/>
          <w:color w:val="auto"/>
          <w:sz w:val="32"/>
          <w:szCs w:val="32"/>
        </w:rPr>
        <w:t>为进一步规范我公司招标（竞价）活动中的资质审核工作，</w:t>
      </w:r>
      <w:r>
        <w:rPr>
          <w:rFonts w:hint="eastAsia" w:ascii="仿宋_GB2312" w:eastAsia="仿宋_GB2312"/>
          <w:color w:val="auto"/>
          <w:sz w:val="32"/>
        </w:rPr>
        <w:t>切实消除资质审核隐患</w:t>
      </w:r>
      <w:r>
        <w:rPr>
          <w:rFonts w:hint="eastAsia" w:ascii="仿宋_GB2312" w:eastAsia="仿宋_GB2312"/>
          <w:color w:val="auto"/>
          <w:sz w:val="32"/>
          <w:szCs w:val="32"/>
        </w:rPr>
        <w:t>，</w:t>
      </w:r>
      <w:r>
        <w:rPr>
          <w:rFonts w:hint="eastAsia" w:ascii="仿宋_GB2312" w:eastAsia="仿宋_GB2312"/>
          <w:color w:val="auto"/>
          <w:sz w:val="32"/>
        </w:rPr>
        <w:t>进一步防范法律风险，构建公开公平公正的竞争秩序，维护公司合法权益，现就规范投标（竞价）人资质审核等有关事项通知如下：</w:t>
      </w:r>
    </w:p>
    <w:p w14:paraId="7E92DB3A">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一、招标（竞价）组织单位在发布的招标（竞价）文件或方案中，对投标（竞价）人的主体资格表述要客观公正合法合理。对投标（竞价）人所应具备的资质务必表述清晰明了便于操作。</w:t>
      </w:r>
    </w:p>
    <w:p w14:paraId="56883F6C">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二、采购中心招标办及招标（竞价）组织单位应按制度要求认真完成投标（竞价）人各类资质（原件）的预审工作，切实做好前期的风险控制。相关资质等必须要求携带原件。资质存疑时，应及时与专业部门沟通联系确认解决，不允许将存在问题的资质延续到开标当日。</w:t>
      </w:r>
    </w:p>
    <w:p w14:paraId="138FC887">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三、参加投标（竞价）的单位必须提供加盖本单位行政印鉴的营业执照、专项资质、法人授权委托书。授权委托书除加盖投标（竞价）人行政印鉴外，法定代表人必须在授权委托书上签字</w:t>
      </w:r>
      <w:r>
        <w:rPr>
          <w:rFonts w:hint="eastAsia" w:ascii="仿宋_GB2312" w:eastAsia="仿宋_GB2312"/>
          <w:b/>
          <w:color w:val="auto"/>
          <w:sz w:val="32"/>
        </w:rPr>
        <w:t>并</w:t>
      </w:r>
      <w:r>
        <w:rPr>
          <w:rFonts w:hint="eastAsia" w:ascii="仿宋_GB2312" w:eastAsia="仿宋_GB2312"/>
          <w:color w:val="auto"/>
          <w:sz w:val="32"/>
        </w:rPr>
        <w:t>加盖法定代表人名章。不合要求者，不允许参加投标。</w:t>
      </w:r>
    </w:p>
    <w:p w14:paraId="02BEB18F">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参加投标竞价授权委托书中的授权范围必须明确，授权期限最长为三个月。招标（竞价）文件附有授权委托书格式的，必须使用标准格式。</w:t>
      </w:r>
    </w:p>
    <w:p w14:paraId="1D7D27E4">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中标人（竞得人）在签订合同时，必须另行出具规范的授权委托书。</w:t>
      </w:r>
    </w:p>
    <w:p w14:paraId="37493EDE">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四、严厉禁止借用资质参加投标或竞价，严厉禁止以委托的形式借用资质规避监管。委托人应为签约人，应为合同的实际履行人。</w:t>
      </w:r>
    </w:p>
    <w:p w14:paraId="54BD7575">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五、招标（竞价）文件或方案中必须明确业经发现资质业绩等造假行为，投标（竞价）人的保证金将被全额没收。投标（竞价）人所有加盖的印鉴及签字，必须同在我公司客户资信库中留存的资料完全一致。造假者经核实并经公司同意，列入公司黑名单。</w:t>
      </w:r>
    </w:p>
    <w:p w14:paraId="3C79870E">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六、涉及环保手续需相关专业部门联合审查资质的竞价项目，竞价组织单位及招标办应提前告知相关专业部门，并预留出足够的资质审核时间，以便提高竞价效率。</w:t>
      </w:r>
    </w:p>
    <w:p w14:paraId="7A2AEAA4">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七、采购中心招标办对与本通知有冲突、遗漏之处，立即按本通知要求修订完善《竞价管理办法》、《物资采购招投标管理办法》、</w:t>
      </w:r>
      <w:r>
        <w:rPr>
          <w:rFonts w:hint="eastAsia" w:ascii="仿宋_GB2312" w:hAnsi="Times New Roman" w:eastAsia="仿宋_GB2312" w:cs="Times New Roman"/>
          <w:color w:val="auto"/>
          <w:sz w:val="32"/>
        </w:rPr>
        <w:t>《建设工程招投标管理办法》</w:t>
      </w:r>
      <w:r>
        <w:rPr>
          <w:rFonts w:hint="eastAsia" w:ascii="仿宋_GB2312" w:eastAsia="仿宋_GB2312"/>
          <w:color w:val="auto"/>
          <w:sz w:val="32"/>
        </w:rPr>
        <w:t>。</w:t>
      </w:r>
    </w:p>
    <w:p w14:paraId="4B8F5ED2">
      <w:pPr>
        <w:widowControl/>
        <w:spacing w:line="500" w:lineRule="exact"/>
        <w:ind w:firstLine="640" w:firstLineChars="200"/>
        <w:jc w:val="left"/>
        <w:rPr>
          <w:rFonts w:ascii="仿宋_GB2312" w:eastAsia="仿宋_GB2312"/>
          <w:color w:val="auto"/>
          <w:sz w:val="32"/>
        </w:rPr>
      </w:pPr>
      <w:r>
        <w:rPr>
          <w:rFonts w:hint="eastAsia" w:ascii="仿宋_GB2312" w:eastAsia="仿宋_GB2312"/>
          <w:color w:val="auto"/>
          <w:sz w:val="32"/>
        </w:rPr>
        <w:t>八、违反本通知规定的计入合同管理违规行为，情节严重者纳入公司合同管理专业考核。</w:t>
      </w:r>
    </w:p>
    <w:p w14:paraId="553EDB34">
      <w:pPr>
        <w:widowControl/>
        <w:spacing w:line="500" w:lineRule="exact"/>
        <w:ind w:firstLine="640" w:firstLineChars="200"/>
        <w:jc w:val="left"/>
        <w:rPr>
          <w:rFonts w:ascii="仿宋_GB2312" w:eastAsia="仿宋_GB2312"/>
          <w:color w:val="auto"/>
          <w:sz w:val="32"/>
        </w:rPr>
      </w:pPr>
      <w:r>
        <w:rPr>
          <w:rFonts w:hint="eastAsia" w:ascii="仿宋_GB2312" w:eastAsia="仿宋_GB2312"/>
          <w:color w:val="auto"/>
          <w:sz w:val="32"/>
        </w:rPr>
        <w:t>九、本通知自下发之日起执行。</w:t>
      </w:r>
    </w:p>
    <w:p w14:paraId="4A9B4E5E">
      <w:pPr>
        <w:widowControl/>
        <w:spacing w:line="500" w:lineRule="exact"/>
        <w:ind w:firstLine="640" w:firstLineChars="200"/>
        <w:jc w:val="left"/>
        <w:rPr>
          <w:rFonts w:ascii="仿宋_GB2312" w:eastAsia="仿宋_GB2312"/>
          <w:color w:val="auto"/>
          <w:sz w:val="32"/>
        </w:rPr>
      </w:pPr>
    </w:p>
    <w:p w14:paraId="1765A5B3">
      <w:pPr>
        <w:widowControl/>
        <w:spacing w:line="500" w:lineRule="exact"/>
        <w:ind w:firstLine="640" w:firstLineChars="200"/>
        <w:jc w:val="left"/>
        <w:rPr>
          <w:rFonts w:ascii="仿宋_GB2312" w:eastAsia="仿宋_GB2312"/>
          <w:color w:val="auto"/>
          <w:sz w:val="32"/>
        </w:rPr>
      </w:pPr>
    </w:p>
    <w:p w14:paraId="665447E6">
      <w:pPr>
        <w:widowControl/>
        <w:spacing w:line="500" w:lineRule="exact"/>
        <w:ind w:firstLine="5760"/>
        <w:jc w:val="left"/>
        <w:rPr>
          <w:rFonts w:ascii="仿宋_GB2312" w:eastAsia="仿宋_GB2312"/>
          <w:color w:val="auto"/>
          <w:sz w:val="32"/>
        </w:rPr>
      </w:pPr>
      <w:r>
        <w:rPr>
          <w:rFonts w:ascii="仿宋_GB2312" w:eastAsia="仿宋_GB2312"/>
          <w:color w:val="auto"/>
          <w:sz w:val="32"/>
        </w:rPr>
        <w:t>法务审计处</w:t>
      </w:r>
    </w:p>
    <w:p w14:paraId="148B0A2C">
      <w:pPr>
        <w:widowControl/>
        <w:spacing w:line="560" w:lineRule="exact"/>
        <w:ind w:firstLine="5296" w:firstLineChars="1655"/>
        <w:jc w:val="left"/>
        <w:rPr>
          <w:rFonts w:ascii="仿宋_GB2312" w:eastAsia="仿宋_GB2312"/>
          <w:color w:val="auto"/>
          <w:sz w:val="32"/>
        </w:rPr>
      </w:pPr>
      <w:r>
        <w:rPr>
          <w:rFonts w:ascii="仿宋_GB2312" w:eastAsia="仿宋_GB2312"/>
          <w:color w:val="auto"/>
          <w:sz w:val="32"/>
        </w:rPr>
        <w:t xml:space="preserve"> 2019年</w:t>
      </w:r>
      <w:r>
        <w:rPr>
          <w:rFonts w:hint="eastAsia" w:ascii="仿宋_GB2312" w:eastAsia="仿宋_GB2312"/>
          <w:color w:val="auto"/>
          <w:sz w:val="32"/>
        </w:rPr>
        <w:t>8</w:t>
      </w:r>
      <w:r>
        <w:rPr>
          <w:rFonts w:ascii="仿宋_GB2312" w:eastAsia="仿宋_GB2312"/>
          <w:color w:val="auto"/>
          <w:sz w:val="32"/>
        </w:rPr>
        <w:t>月</w:t>
      </w:r>
      <w:r>
        <w:rPr>
          <w:rFonts w:hint="eastAsia" w:ascii="仿宋_GB2312" w:eastAsia="仿宋_GB2312"/>
          <w:color w:val="auto"/>
          <w:sz w:val="32"/>
        </w:rPr>
        <w:t>22</w:t>
      </w:r>
      <w:r>
        <w:rPr>
          <w:rFonts w:ascii="仿宋_GB2312" w:eastAsia="仿宋_GB2312"/>
          <w:color w:val="auto"/>
          <w:sz w:val="32"/>
        </w:rPr>
        <w:t xml:space="preserve">日 </w:t>
      </w:r>
    </w:p>
    <w:p w14:paraId="43CC96E4">
      <w:pPr>
        <w:widowControl/>
        <w:spacing w:line="560" w:lineRule="exact"/>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14:paraId="05FAA3A1">
      <w:pPr>
        <w:pStyle w:val="2"/>
        <w:rPr>
          <w:rFonts w:hint="eastAsia" w:ascii="仿宋_GB2312" w:eastAsia="仿宋_GB2312"/>
          <w:color w:val="auto"/>
          <w:sz w:val="32"/>
          <w:lang w:val="en-US" w:eastAsia="zh-CN"/>
        </w:rPr>
      </w:pPr>
      <w:bookmarkStart w:id="5" w:name="End"/>
      <w:bookmarkEnd w:id="5"/>
      <w:bookmarkStart w:id="6" w:name="_GoBack"/>
      <w:bookmarkEnd w:id="6"/>
    </w:p>
    <w:sectPr>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9C18D">
    <w:pPr>
      <w:pStyle w:val="10"/>
      <w:ind w:left="1260" w:hanging="42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54261">
                          <w:pPr>
                            <w:pStyle w:val="10"/>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2A54261">
                    <w:pPr>
                      <w:pStyle w:val="10"/>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F09EE">
    <w:pPr>
      <w:pStyle w:val="11"/>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 w:name="DocumentID" w:val="{19225048-B9A3-4DEC-9583-AB0EBBF4B69C}"/>
    <w:docVar w:name="DocumentName" w:val="30312.007845115844"/>
  </w:docVars>
  <w:rsids>
    <w:rsidRoot w:val="68303598"/>
    <w:rsid w:val="01800041"/>
    <w:rsid w:val="03957D20"/>
    <w:rsid w:val="04092529"/>
    <w:rsid w:val="04D57360"/>
    <w:rsid w:val="0639213D"/>
    <w:rsid w:val="081F7F55"/>
    <w:rsid w:val="09375706"/>
    <w:rsid w:val="0A52519B"/>
    <w:rsid w:val="0A8821D6"/>
    <w:rsid w:val="0B777256"/>
    <w:rsid w:val="0C6368FF"/>
    <w:rsid w:val="0DED7927"/>
    <w:rsid w:val="0FAE1A49"/>
    <w:rsid w:val="107F33E2"/>
    <w:rsid w:val="10C1008B"/>
    <w:rsid w:val="12CD3DBB"/>
    <w:rsid w:val="12F41E37"/>
    <w:rsid w:val="13934D27"/>
    <w:rsid w:val="148D0DA3"/>
    <w:rsid w:val="16954A6C"/>
    <w:rsid w:val="17B90DF1"/>
    <w:rsid w:val="1870645E"/>
    <w:rsid w:val="18E570E8"/>
    <w:rsid w:val="1A6803B6"/>
    <w:rsid w:val="1C4F2D03"/>
    <w:rsid w:val="1EE10380"/>
    <w:rsid w:val="200C6AB5"/>
    <w:rsid w:val="20CF32F1"/>
    <w:rsid w:val="217B04DD"/>
    <w:rsid w:val="21DF10AD"/>
    <w:rsid w:val="23A30240"/>
    <w:rsid w:val="27BE66D5"/>
    <w:rsid w:val="28B73FB4"/>
    <w:rsid w:val="2AEA6823"/>
    <w:rsid w:val="2B236C4F"/>
    <w:rsid w:val="2CB7386A"/>
    <w:rsid w:val="2CF710A1"/>
    <w:rsid w:val="2D0839C4"/>
    <w:rsid w:val="2D4A4427"/>
    <w:rsid w:val="2E2A4680"/>
    <w:rsid w:val="2F896C41"/>
    <w:rsid w:val="338A7F0A"/>
    <w:rsid w:val="34780C53"/>
    <w:rsid w:val="3A2B02EC"/>
    <w:rsid w:val="3C802AF3"/>
    <w:rsid w:val="3CC73487"/>
    <w:rsid w:val="3D361A26"/>
    <w:rsid w:val="3F6F5ED1"/>
    <w:rsid w:val="3F983A86"/>
    <w:rsid w:val="3FB07C1B"/>
    <w:rsid w:val="400B247B"/>
    <w:rsid w:val="424A7AE7"/>
    <w:rsid w:val="43D916B8"/>
    <w:rsid w:val="44932BEF"/>
    <w:rsid w:val="453D45F2"/>
    <w:rsid w:val="4566763F"/>
    <w:rsid w:val="46B457D0"/>
    <w:rsid w:val="47261C3D"/>
    <w:rsid w:val="48752D96"/>
    <w:rsid w:val="4AA94BEF"/>
    <w:rsid w:val="4C112FF3"/>
    <w:rsid w:val="4C852A0A"/>
    <w:rsid w:val="4DB538B9"/>
    <w:rsid w:val="4DD94EEC"/>
    <w:rsid w:val="4E1253E1"/>
    <w:rsid w:val="4F3F0234"/>
    <w:rsid w:val="4FBF6451"/>
    <w:rsid w:val="50F1344C"/>
    <w:rsid w:val="52171610"/>
    <w:rsid w:val="54BC3F27"/>
    <w:rsid w:val="54E62189"/>
    <w:rsid w:val="575E3F95"/>
    <w:rsid w:val="58222830"/>
    <w:rsid w:val="58D13B7F"/>
    <w:rsid w:val="59D32AE1"/>
    <w:rsid w:val="5A461CAE"/>
    <w:rsid w:val="5C0E3941"/>
    <w:rsid w:val="5C6825AA"/>
    <w:rsid w:val="5E0A3B9C"/>
    <w:rsid w:val="5F6302C6"/>
    <w:rsid w:val="5FC353A5"/>
    <w:rsid w:val="604F449B"/>
    <w:rsid w:val="60AB7E86"/>
    <w:rsid w:val="63D66318"/>
    <w:rsid w:val="6587755B"/>
    <w:rsid w:val="65D60782"/>
    <w:rsid w:val="667E2026"/>
    <w:rsid w:val="67755B92"/>
    <w:rsid w:val="67B0620F"/>
    <w:rsid w:val="68303598"/>
    <w:rsid w:val="694D4756"/>
    <w:rsid w:val="6A9F07BD"/>
    <w:rsid w:val="6ACD1926"/>
    <w:rsid w:val="6B7D2A29"/>
    <w:rsid w:val="6CEF242D"/>
    <w:rsid w:val="6D467526"/>
    <w:rsid w:val="7129774D"/>
    <w:rsid w:val="72201FFF"/>
    <w:rsid w:val="74E25B87"/>
    <w:rsid w:val="75945B50"/>
    <w:rsid w:val="76110FC9"/>
    <w:rsid w:val="770C66B0"/>
    <w:rsid w:val="783771FF"/>
    <w:rsid w:val="7A05606C"/>
    <w:rsid w:val="7A202FC2"/>
    <w:rsid w:val="7DCE2806"/>
    <w:rsid w:val="7E496058"/>
    <w:rsid w:val="7EE1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character" w:styleId="15">
    <w:name w:val="page number"/>
    <w:basedOn w:val="14"/>
    <w:qFormat/>
    <w:uiPriority w:val="0"/>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9">
    <w:name w:val="font01"/>
    <w:basedOn w:val="14"/>
    <w:qFormat/>
    <w:uiPriority w:val="0"/>
    <w:rPr>
      <w:rFonts w:hint="default" w:ascii="仿宋" w:hAnsi="仿宋" w:eastAsia="仿宋" w:cs="仿宋"/>
      <w:b/>
      <w:bCs/>
      <w:color w:val="000000"/>
      <w:sz w:val="20"/>
      <w:szCs w:val="20"/>
      <w:u w:val="none"/>
    </w:rPr>
  </w:style>
  <w:style w:type="character" w:customStyle="1" w:styleId="20">
    <w:name w:val="font31"/>
    <w:basedOn w:val="14"/>
    <w:qFormat/>
    <w:uiPriority w:val="0"/>
    <w:rPr>
      <w:rFonts w:hint="default" w:ascii="仿宋" w:hAnsi="仿宋" w:eastAsia="仿宋" w:cs="仿宋"/>
      <w:color w:val="000000"/>
      <w:sz w:val="20"/>
      <w:szCs w:val="20"/>
      <w:u w:val="none"/>
    </w:rPr>
  </w:style>
  <w:style w:type="character" w:customStyle="1" w:styleId="21">
    <w:name w:val="font11"/>
    <w:basedOn w:val="14"/>
    <w:qFormat/>
    <w:uiPriority w:val="0"/>
    <w:rPr>
      <w:rFonts w:hint="default"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8172</Words>
  <Characters>8465</Characters>
  <Lines>0</Lines>
  <Paragraphs>0</Paragraphs>
  <TotalTime>63</TotalTime>
  <ScaleCrop>false</ScaleCrop>
  <LinksUpToDate>false</LinksUpToDate>
  <CharactersWithSpaces>9298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2024-08-23T00:45:00Z</cp:lastPrinted>
  <dcterms:modified xsi:type="dcterms:W3CDTF">2024-08-23T03:01:36Z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5C5BFFD39D5D445DB56917AE4211B41D_13</vt:lpwstr>
  </property>
</Properties>
</file>