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1"/>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val="en-US" w:eastAsia="zh-CN"/>
        </w:rPr>
        <w:t>焚烧炉炉排系统维修具体要求</w:t>
      </w:r>
    </w:p>
    <w:p>
      <w:pPr>
        <w:numPr>
          <w:ilvl w:val="0"/>
          <w:numId w:val="0"/>
        </w:numPr>
        <w:spacing w:line="360" w:lineRule="auto"/>
        <w:ind w:left="210" w:left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）炉排块间的间隙基准</w:t>
      </w:r>
    </w:p>
    <w:p>
      <w:pPr>
        <w:numPr>
          <w:ilvl w:val="0"/>
          <w:numId w:val="0"/>
        </w:numPr>
        <w:spacing w:line="360" w:lineRule="auto"/>
        <w:ind w:firstLine="426"/>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如图</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和图</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中所示，给出每个部分之间由于热变形、热伸长和垃圾重量而引起挠曲的间隙。</w:t>
      </w:r>
    </w:p>
    <w:p>
      <w:pPr>
        <w:numPr>
          <w:ilvl w:val="0"/>
          <w:numId w:val="0"/>
        </w:numPr>
        <w:spacing w:line="360" w:lineRule="auto"/>
        <w:ind w:firstLine="426"/>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确认</w:t>
      </w:r>
      <w:r>
        <w:rPr>
          <w:rFonts w:hint="eastAsia" w:ascii="仿宋_GB2312" w:hAnsi="仿宋_GB2312" w:eastAsia="仿宋_GB2312" w:cs="仿宋_GB2312"/>
          <w:sz w:val="24"/>
          <w:szCs w:val="24"/>
          <w:lang w:val="en-US" w:eastAsia="zh-CN"/>
        </w:rPr>
        <w:t>维修后</w:t>
      </w:r>
      <w:r>
        <w:rPr>
          <w:rFonts w:hint="eastAsia" w:ascii="仿宋_GB2312" w:hAnsi="仿宋_GB2312" w:eastAsia="仿宋_GB2312" w:cs="仿宋_GB2312"/>
          <w:sz w:val="24"/>
          <w:szCs w:val="24"/>
          <w:lang w:eastAsia="zh-CN"/>
        </w:rPr>
        <w:t>维持了表</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中所示的间隙。</w:t>
      </w:r>
      <w:r>
        <w:rPr>
          <w:rFonts w:hint="eastAsia" w:ascii="仿宋_GB2312" w:hAnsi="仿宋_GB2312" w:eastAsia="仿宋_GB2312" w:cs="仿宋_GB2312"/>
          <w:sz w:val="24"/>
          <w:szCs w:val="24"/>
          <w:lang w:val="en-US" w:eastAsia="zh-CN"/>
        </w:rPr>
        <w:t>如不符合</w:t>
      </w:r>
      <w:r>
        <w:rPr>
          <w:rFonts w:hint="eastAsia" w:ascii="仿宋_GB2312" w:hAnsi="仿宋_GB2312" w:eastAsia="仿宋_GB2312" w:cs="仿宋_GB2312"/>
          <w:sz w:val="24"/>
          <w:szCs w:val="24"/>
          <w:lang w:eastAsia="zh-CN"/>
        </w:rPr>
        <w:t>进行再调整。为使能评估总的炉排条件，必须对这些间隙进行</w:t>
      </w:r>
      <w:r>
        <w:rPr>
          <w:rFonts w:hint="eastAsia" w:ascii="仿宋_GB2312" w:hAnsi="仿宋_GB2312" w:eastAsia="仿宋_GB2312" w:cs="仿宋_GB2312"/>
          <w:sz w:val="24"/>
          <w:szCs w:val="24"/>
          <w:lang w:val="en-US" w:eastAsia="zh-CN"/>
        </w:rPr>
        <w:t>满足</w:t>
      </w:r>
      <w:r>
        <w:rPr>
          <w:rFonts w:hint="eastAsia" w:ascii="仿宋_GB2312" w:hAnsi="仿宋_GB2312" w:eastAsia="仿宋_GB2312" w:cs="仿宋_GB2312"/>
          <w:sz w:val="24"/>
          <w:szCs w:val="24"/>
          <w:lang w:eastAsia="zh-CN"/>
        </w:rPr>
        <w:t>。</w:t>
      </w:r>
    </w:p>
    <w:p>
      <w:pPr>
        <w:numPr>
          <w:ilvl w:val="0"/>
          <w:numId w:val="0"/>
        </w:numPr>
        <w:ind w:left="635" w:hanging="425"/>
        <w:jc w:val="center"/>
        <w:rPr>
          <w:rFonts w:hint="eastAsia" w:ascii="仿宋_GB2312" w:hAnsi="仿宋_GB2312" w:eastAsia="仿宋_GB2312" w:cs="仿宋_GB2312"/>
          <w:b/>
          <w:color w:val="auto"/>
          <w:sz w:val="24"/>
          <w:szCs w:val="24"/>
          <w:lang w:val="en-US" w:eastAsia="zh-CN"/>
        </w:rPr>
      </w:pPr>
      <w:r>
        <w:rPr>
          <w:rFonts w:hint="eastAsia" w:ascii="仿宋_GB2312" w:hAnsi="仿宋_GB2312" w:eastAsia="仿宋_GB2312" w:cs="仿宋_GB2312"/>
          <w:sz w:val="24"/>
          <w:szCs w:val="24"/>
          <w:lang w:eastAsia="zh-CN"/>
        </w:rPr>
        <w:t>表</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 xml:space="preserve"> 炉排主要部分的间距</w:t>
      </w:r>
      <w:r>
        <w:rPr>
          <w:rFonts w:hint="eastAsia" w:ascii="仿宋_GB2312" w:hAnsi="仿宋_GB2312" w:eastAsia="仿宋_GB2312" w:cs="仿宋_GB2312"/>
          <w:sz w:val="24"/>
          <w:szCs w:val="24"/>
        </w:rPr>
        <w:t>( Unit in mm )</w:t>
      </w:r>
    </w:p>
    <w:tbl>
      <w:tblPr>
        <w:tblStyle w:val="12"/>
        <w:tblpPr w:leftFromText="180" w:rightFromText="180" w:vertAnchor="text" w:horzAnchor="page" w:tblpX="1808" w:tblpY="287"/>
        <w:tblOverlap w:val="never"/>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99" w:type="dxa"/>
          <w:bottom w:w="0" w:type="dxa"/>
          <w:right w:w="99" w:type="dxa"/>
        </w:tblCellMar>
      </w:tblPr>
      <w:tblGrid>
        <w:gridCol w:w="1080"/>
        <w:gridCol w:w="4800"/>
        <w:gridCol w:w="1440"/>
        <w:gridCol w:w="192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c>
          <w:tcPr>
            <w:tcW w:w="1080" w:type="dxa"/>
            <w:noWrap w:val="0"/>
            <w:vAlign w:val="top"/>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符号</w:t>
            </w:r>
          </w:p>
        </w:tc>
        <w:tc>
          <w:tcPr>
            <w:tcW w:w="4800" w:type="dxa"/>
            <w:noWrap w:val="0"/>
            <w:vAlign w:val="top"/>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部件名称</w:t>
            </w:r>
          </w:p>
        </w:tc>
        <w:tc>
          <w:tcPr>
            <w:tcW w:w="1440" w:type="dxa"/>
            <w:noWrap w:val="0"/>
            <w:vAlign w:val="top"/>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间隙</w:t>
            </w:r>
          </w:p>
        </w:tc>
        <w:tc>
          <w:tcPr>
            <w:tcW w:w="1920" w:type="dxa"/>
            <w:noWrap w:val="0"/>
            <w:vAlign w:val="top"/>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允许限值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c>
          <w:tcPr>
            <w:tcW w:w="108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A</w:t>
            </w:r>
          </w:p>
        </w:tc>
        <w:tc>
          <w:tcPr>
            <w:tcW w:w="4800" w:type="dxa"/>
            <w:noWrap w:val="0"/>
            <w:vAlign w:val="top"/>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导向辊子和活动炉排梁的间距</w:t>
            </w:r>
          </w:p>
        </w:tc>
        <w:tc>
          <w:tcPr>
            <w:tcW w:w="144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92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 ～ 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c>
          <w:tcPr>
            <w:tcW w:w="108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B</w:t>
            </w:r>
          </w:p>
        </w:tc>
        <w:tc>
          <w:tcPr>
            <w:tcW w:w="4800" w:type="dxa"/>
            <w:noWrap w:val="0"/>
            <w:vAlign w:val="top"/>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导向辊子和炉排支架之间的间隙</w:t>
            </w:r>
          </w:p>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在活动炉排梁最后部处</w:t>
            </w:r>
          </w:p>
        </w:tc>
        <w:tc>
          <w:tcPr>
            <w:tcW w:w="144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w:t>
            </w:r>
          </w:p>
        </w:tc>
        <w:tc>
          <w:tcPr>
            <w:tcW w:w="192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c>
          <w:tcPr>
            <w:tcW w:w="108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C</w:t>
            </w:r>
          </w:p>
        </w:tc>
        <w:tc>
          <w:tcPr>
            <w:tcW w:w="4800" w:type="dxa"/>
            <w:noWrap w:val="0"/>
            <w:vAlign w:val="top"/>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前密封板和最后部活动炉排梁的间距</w:t>
            </w:r>
          </w:p>
        </w:tc>
        <w:tc>
          <w:tcPr>
            <w:tcW w:w="144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c>
          <w:tcPr>
            <w:tcW w:w="192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c>
          <w:tcPr>
            <w:tcW w:w="108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w:t>
            </w:r>
          </w:p>
        </w:tc>
        <w:tc>
          <w:tcPr>
            <w:tcW w:w="4800" w:type="dxa"/>
            <w:noWrap w:val="0"/>
            <w:vAlign w:val="top"/>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活动炉排梁最前部投下炉排块与炉排支撑之间的间隙</w:t>
            </w:r>
          </w:p>
        </w:tc>
        <w:tc>
          <w:tcPr>
            <w:tcW w:w="144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192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 ～ 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c>
          <w:tcPr>
            <w:tcW w:w="108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E</w:t>
            </w:r>
          </w:p>
        </w:tc>
        <w:tc>
          <w:tcPr>
            <w:tcW w:w="4800" w:type="dxa"/>
            <w:noWrap w:val="0"/>
            <w:vAlign w:val="top"/>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固定炉排和活动炉排梁之间导向板的间隙</w:t>
            </w:r>
          </w:p>
        </w:tc>
        <w:tc>
          <w:tcPr>
            <w:tcW w:w="144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92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0.5 ～ 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rPr>
          <w:cantSplit/>
          <w:trHeight w:val="360" w:hRule="atLeast"/>
        </w:trPr>
        <w:tc>
          <w:tcPr>
            <w:tcW w:w="1080" w:type="dxa"/>
            <w:vMerge w:val="restart"/>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F</w:t>
            </w:r>
          </w:p>
        </w:tc>
        <w:tc>
          <w:tcPr>
            <w:tcW w:w="4800" w:type="dxa"/>
            <w:vMerge w:val="restart"/>
            <w:noWrap w:val="0"/>
            <w:vAlign w:val="center"/>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滑板和滑动支架之间的间距</w:t>
            </w:r>
          </w:p>
        </w:tc>
        <w:tc>
          <w:tcPr>
            <w:tcW w:w="1440" w:type="dxa"/>
            <w:vMerge w:val="restart"/>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w:t>
            </w:r>
          </w:p>
        </w:tc>
        <w:tc>
          <w:tcPr>
            <w:tcW w:w="1920" w:type="dxa"/>
            <w:vMerge w:val="restart"/>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99" w:type="dxa"/>
            <w:bottom w:w="0" w:type="dxa"/>
            <w:right w:w="99" w:type="dxa"/>
          </w:tblCellMar>
        </w:tblPrEx>
        <w:trPr>
          <w:cantSplit/>
          <w:trHeight w:val="360" w:hRule="atLeast"/>
        </w:trPr>
        <w:tc>
          <w:tcPr>
            <w:tcW w:w="1080" w:type="dxa"/>
            <w:vMerge w:val="continue"/>
            <w:noWrap w:val="0"/>
            <w:vAlign w:val="center"/>
          </w:tcPr>
          <w:p>
            <w:pPr>
              <w:jc w:val="center"/>
              <w:rPr>
                <w:rFonts w:hint="eastAsia" w:ascii="仿宋_GB2312" w:hAnsi="仿宋_GB2312" w:eastAsia="仿宋_GB2312" w:cs="仿宋_GB2312"/>
                <w:sz w:val="24"/>
                <w:szCs w:val="24"/>
              </w:rPr>
            </w:pPr>
          </w:p>
        </w:tc>
        <w:tc>
          <w:tcPr>
            <w:tcW w:w="4800" w:type="dxa"/>
            <w:vMerge w:val="continue"/>
            <w:noWrap w:val="0"/>
            <w:vAlign w:val="top"/>
          </w:tcPr>
          <w:p>
            <w:pPr>
              <w:rPr>
                <w:rFonts w:hint="eastAsia" w:ascii="仿宋_GB2312" w:hAnsi="仿宋_GB2312" w:eastAsia="仿宋_GB2312" w:cs="仿宋_GB2312"/>
                <w:sz w:val="24"/>
                <w:szCs w:val="24"/>
              </w:rPr>
            </w:pPr>
          </w:p>
        </w:tc>
        <w:tc>
          <w:tcPr>
            <w:tcW w:w="1440" w:type="dxa"/>
            <w:vMerge w:val="continue"/>
            <w:noWrap w:val="0"/>
            <w:vAlign w:val="center"/>
          </w:tcPr>
          <w:p>
            <w:pPr>
              <w:jc w:val="center"/>
              <w:rPr>
                <w:rFonts w:hint="eastAsia" w:ascii="仿宋_GB2312" w:hAnsi="仿宋_GB2312" w:eastAsia="仿宋_GB2312" w:cs="仿宋_GB2312"/>
                <w:sz w:val="24"/>
                <w:szCs w:val="24"/>
              </w:rPr>
            </w:pPr>
          </w:p>
        </w:tc>
        <w:tc>
          <w:tcPr>
            <w:tcW w:w="1920" w:type="dxa"/>
            <w:vMerge w:val="continue"/>
            <w:noWrap w:val="0"/>
            <w:vAlign w:val="center"/>
          </w:tcPr>
          <w:p>
            <w:pPr>
              <w:jc w:val="center"/>
              <w:rPr>
                <w:rFonts w:hint="eastAsia" w:ascii="仿宋_GB2312" w:hAnsi="仿宋_GB2312" w:eastAsia="仿宋_GB2312" w:cs="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c>
          <w:tcPr>
            <w:tcW w:w="108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w:t>
            </w:r>
          </w:p>
        </w:tc>
        <w:tc>
          <w:tcPr>
            <w:tcW w:w="4800" w:type="dxa"/>
            <w:noWrap w:val="0"/>
            <w:vAlign w:val="top"/>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活动炉排梁和投下炉排块的间隙</w:t>
            </w:r>
          </w:p>
        </w:tc>
        <w:tc>
          <w:tcPr>
            <w:tcW w:w="144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53</w:t>
            </w:r>
          </w:p>
        </w:tc>
        <w:tc>
          <w:tcPr>
            <w:tcW w:w="1920"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25</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sz w:val="24"/>
          <w:szCs w:val="24"/>
        </w:rPr>
        <w:drawing>
          <wp:anchor distT="0" distB="0" distL="114300" distR="114300" simplePos="0" relativeHeight="251660288" behindDoc="0" locked="0" layoutInCell="1" allowOverlap="1">
            <wp:simplePos x="0" y="0"/>
            <wp:positionH relativeFrom="column">
              <wp:posOffset>1281430</wp:posOffset>
            </wp:positionH>
            <wp:positionV relativeFrom="paragraph">
              <wp:posOffset>-1214755</wp:posOffset>
            </wp:positionV>
            <wp:extent cx="3419475" cy="6061075"/>
            <wp:effectExtent l="0" t="0" r="15875" b="9525"/>
            <wp:wrapTopAndBottom/>
            <wp:docPr id="60"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6"/>
                    <pic:cNvPicPr>
                      <a:picLocks noChangeAspect="1"/>
                    </pic:cNvPicPr>
                  </pic:nvPicPr>
                  <pic:blipFill>
                    <a:blip r:embed="rId6"/>
                    <a:stretch>
                      <a:fillRect/>
                    </a:stretch>
                  </pic:blipFill>
                  <pic:spPr>
                    <a:xfrm rot="5400000">
                      <a:off x="0" y="0"/>
                      <a:ext cx="3419475" cy="6061075"/>
                    </a:xfrm>
                    <a:prstGeom prst="rect">
                      <a:avLst/>
                    </a:prstGeom>
                    <a:noFill/>
                    <a:ln>
                      <a:noFill/>
                    </a:ln>
                  </pic:spPr>
                </pic:pic>
              </a:graphicData>
            </a:graphic>
          </wp:anchor>
        </w:drawing>
      </w:r>
      <w:r>
        <w:rPr>
          <w:rFonts w:hint="eastAsia" w:ascii="仿宋_GB2312" w:hAnsi="仿宋_GB2312" w:eastAsia="仿宋_GB2312" w:cs="仿宋_GB2312"/>
          <w:sz w:val="24"/>
          <w:szCs w:val="24"/>
          <w:lang w:val="en-US" w:eastAsia="zh-CN"/>
        </w:rPr>
        <w:t>图1</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sz w:val="24"/>
          <w:szCs w:val="24"/>
        </w:rPr>
        <w:drawing>
          <wp:anchor distT="0" distB="0" distL="114300" distR="114300" simplePos="0" relativeHeight="251661312" behindDoc="0" locked="0" layoutInCell="1" allowOverlap="1">
            <wp:simplePos x="0" y="0"/>
            <wp:positionH relativeFrom="column">
              <wp:posOffset>1316355</wp:posOffset>
            </wp:positionH>
            <wp:positionV relativeFrom="paragraph">
              <wp:posOffset>-1139190</wp:posOffset>
            </wp:positionV>
            <wp:extent cx="3540760" cy="6072505"/>
            <wp:effectExtent l="0" t="0" r="4445" b="2540"/>
            <wp:wrapTopAndBottom/>
            <wp:docPr id="61" name="图片 27" descr="img-Y10100029-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7" descr="img-Y10100029-0001"/>
                    <pic:cNvPicPr>
                      <a:picLocks noChangeAspect="1"/>
                    </pic:cNvPicPr>
                  </pic:nvPicPr>
                  <pic:blipFill>
                    <a:blip r:embed="rId7"/>
                    <a:srcRect l="23425" t="17485" r="19386" b="6628"/>
                    <a:stretch>
                      <a:fillRect/>
                    </a:stretch>
                  </pic:blipFill>
                  <pic:spPr>
                    <a:xfrm rot="5400000">
                      <a:off x="0" y="0"/>
                      <a:ext cx="3540760" cy="6072505"/>
                    </a:xfrm>
                    <a:prstGeom prst="rect">
                      <a:avLst/>
                    </a:prstGeom>
                    <a:noFill/>
                    <a:ln>
                      <a:noFill/>
                    </a:ln>
                  </pic:spPr>
                </pic:pic>
              </a:graphicData>
            </a:graphic>
          </wp:anchor>
        </w:drawing>
      </w:r>
      <w:r>
        <w:rPr>
          <w:rFonts w:hint="eastAsia" w:ascii="仿宋_GB2312" w:hAnsi="仿宋_GB2312" w:eastAsia="仿宋_GB2312" w:cs="仿宋_GB2312"/>
          <w:sz w:val="24"/>
          <w:szCs w:val="24"/>
          <w:lang w:val="en-US" w:eastAsia="zh-CN"/>
        </w:rPr>
        <w:t>图2</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（2）润滑</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anchor distT="0" distB="0" distL="114300" distR="114300" simplePos="0" relativeHeight="251662336" behindDoc="0" locked="0" layoutInCell="1" allowOverlap="1">
            <wp:simplePos x="0" y="0"/>
            <wp:positionH relativeFrom="column">
              <wp:posOffset>1538605</wp:posOffset>
            </wp:positionH>
            <wp:positionV relativeFrom="paragraph">
              <wp:posOffset>-1353185</wp:posOffset>
            </wp:positionV>
            <wp:extent cx="2932430" cy="5927725"/>
            <wp:effectExtent l="0" t="0" r="15875" b="1270"/>
            <wp:wrapTopAndBottom/>
            <wp:docPr id="62" name="图片 28" descr="img-Y10104524-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8" descr="img-Y10104524-0001"/>
                    <pic:cNvPicPr>
                      <a:picLocks noChangeAspect="1"/>
                    </pic:cNvPicPr>
                  </pic:nvPicPr>
                  <pic:blipFill>
                    <a:blip r:embed="rId8"/>
                    <a:srcRect l="5992" t="15366" r="16322" b="11143"/>
                    <a:stretch>
                      <a:fillRect/>
                    </a:stretch>
                  </pic:blipFill>
                  <pic:spPr>
                    <a:xfrm rot="5400000">
                      <a:off x="0" y="0"/>
                      <a:ext cx="2932430" cy="5927725"/>
                    </a:xfrm>
                    <a:prstGeom prst="rect">
                      <a:avLst/>
                    </a:prstGeom>
                    <a:noFill/>
                    <a:ln>
                      <a:noFill/>
                    </a:ln>
                  </pic:spPr>
                </pic:pic>
              </a:graphicData>
            </a:graphic>
          </wp:anchor>
        </w:drawing>
      </w:r>
      <w:r>
        <w:rPr>
          <w:rFonts w:hint="eastAsia" w:ascii="仿宋_GB2312" w:hAnsi="仿宋_GB2312" w:eastAsia="仿宋_GB2312" w:cs="仿宋_GB2312"/>
          <w:sz w:val="24"/>
          <w:szCs w:val="24"/>
          <w:lang w:val="en-US" w:eastAsia="zh-CN"/>
        </w:rPr>
        <w:t>图3</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kern w:val="2"/>
          <w:sz w:val="24"/>
          <w:szCs w:val="24"/>
          <w:u w:val="none"/>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kern w:val="2"/>
          <w:sz w:val="24"/>
          <w:szCs w:val="24"/>
          <w:u w:val="none"/>
          <w:lang w:eastAsia="zh-CN"/>
        </w:rPr>
        <w:t>炉排块和导向板的替换</w:t>
      </w:r>
    </w:p>
    <w:p>
      <w:pPr>
        <w:numPr>
          <w:ilvl w:val="0"/>
          <w:numId w:val="0"/>
        </w:numPr>
        <w:spacing w:line="360" w:lineRule="auto"/>
        <w:ind w:leftChars="0" w:firstLine="240" w:firstLineChars="100"/>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a炉排块的替换：移除更换磨损严重或变形断裂的炉排片及其支架；</w:t>
      </w:r>
    </w:p>
    <w:p>
      <w:pPr>
        <w:numPr>
          <w:ilvl w:val="0"/>
          <w:numId w:val="0"/>
        </w:numPr>
        <w:spacing w:line="360" w:lineRule="auto"/>
        <w:ind w:leftChars="0" w:firstLine="240" w:firstLineChars="100"/>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b挡板和挡板框架的替换：移除更换磨损严重或变形断裂的挡板及支架；</w:t>
      </w:r>
    </w:p>
    <w:p>
      <w:pPr>
        <w:numPr>
          <w:ilvl w:val="0"/>
          <w:numId w:val="0"/>
        </w:numPr>
        <w:spacing w:line="360" w:lineRule="auto"/>
        <w:ind w:leftChars="0" w:firstLine="240" w:firstLineChars="100"/>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c边炉排块的替换：移除更换磨损严重或变形的侧面炉排块；</w:t>
      </w:r>
    </w:p>
    <w:p>
      <w:pPr>
        <w:numPr>
          <w:ilvl w:val="0"/>
          <w:numId w:val="0"/>
        </w:numPr>
        <w:spacing w:line="360" w:lineRule="auto"/>
        <w:ind w:leftChars="0" w:firstLine="240" w:firstLineChars="100"/>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d滑动板的替换：滑板之间断裂、滑板磨损不均匀或超过1/2原始厚度</w:t>
      </w:r>
    </w:p>
    <w:p>
      <w:pPr>
        <w:numPr>
          <w:ilvl w:val="0"/>
          <w:numId w:val="0"/>
        </w:numPr>
        <w:spacing w:line="360" w:lineRule="auto"/>
        <w:ind w:leftChars="0" w:firstLine="240" w:firstLineChars="100"/>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e导向板的替换：调整导向板间的间距通过调整片来校正最初的间隙在0.8-1.3mm之间。同时，如果导向板的厚度少于12mm，要用新的来替换。</w:t>
      </w:r>
    </w:p>
    <w:p>
      <w:pPr>
        <w:numPr>
          <w:ilvl w:val="0"/>
          <w:numId w:val="0"/>
        </w:numPr>
        <w:ind w:left="635" w:hanging="425"/>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表2炉排主要部件检查项目</w:t>
      </w:r>
    </w:p>
    <w:tbl>
      <w:tblPr>
        <w:tblStyle w:val="12"/>
        <w:tblpPr w:leftFromText="180" w:rightFromText="180" w:vertAnchor="text" w:horzAnchor="page" w:tblpX="2483" w:tblpY="461"/>
        <w:tblOverlap w:val="never"/>
        <w:tblW w:w="7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00"/>
        <w:gridCol w:w="3210"/>
        <w:gridCol w:w="26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部位</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项目</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杆密封件</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有无从密封部件的漏灰灰是否进到碳环中</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清理，更换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碳环是否老化；有无碳环的撕裂</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有无支架的裂纹</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00"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轴承</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润滑剂的再补足</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00" w:type="dxa"/>
            <w:vMerge w:val="continue"/>
            <w:tcBorders>
              <w:left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安装用螺栓的松紧度</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900" w:type="dxa"/>
            <w:vMerge w:val="continue"/>
            <w:tcBorders>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轴承内有无异常声音</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炉排和炉排部件</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有无炉排块的烧坏</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有无炉排块的裂纹</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在各炉排片之间有无外来物的堵塞</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有无炉排块和/或炉排片的掉落</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必要时补充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滑板的磨损</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有无炉排梁的变形</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炉排梁的磨损</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移动炉排梁与固定炉排梁之间的间隙</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在炉排片表面上有无外来物的粘附</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导向板的磨损</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驱动设备用传动杆接头上的间隙</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球面轴套表面有无裂纹</w:t>
            </w:r>
          </w:p>
        </w:tc>
        <w:tc>
          <w:tcPr>
            <w:tcW w:w="2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numPr>
          <w:ilvl w:val="0"/>
          <w:numId w:val="1"/>
        </w:numPr>
        <w:spacing w:line="360" w:lineRule="auto"/>
        <w:ind w:left="210" w:leftChars="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料斗衬板更换：变形及磨损严重的斜面衬板及立面衬板进行更换；</w:t>
      </w:r>
      <w:r>
        <w:rPr>
          <w:rFonts w:hint="eastAsia" w:ascii="仿宋_GB2312" w:hAnsi="仿宋_GB2312" w:eastAsia="仿宋_GB2312" w:cs="仿宋_GB2312"/>
          <w:sz w:val="24"/>
          <w:szCs w:val="24"/>
          <w:lang w:eastAsia="zh-CN"/>
        </w:rPr>
        <w:t>检查时测量耐磨板的厚度，耐磨板厚度从</w:t>
      </w:r>
      <w:r>
        <w:rPr>
          <w:rFonts w:hint="eastAsia" w:ascii="仿宋_GB2312" w:hAnsi="仿宋_GB2312" w:eastAsia="仿宋_GB2312" w:cs="仿宋_GB2312"/>
          <w:sz w:val="24"/>
          <w:szCs w:val="24"/>
          <w:lang w:val="en-US" w:eastAsia="zh-CN"/>
        </w:rPr>
        <w:t>原始值</w:t>
      </w:r>
      <w:r>
        <w:rPr>
          <w:rFonts w:hint="eastAsia" w:ascii="仿宋_GB2312" w:hAnsi="仿宋_GB2312" w:eastAsia="仿宋_GB2312" w:cs="仿宋_GB2312"/>
          <w:sz w:val="24"/>
          <w:szCs w:val="24"/>
          <w:lang w:eastAsia="zh-CN"/>
        </w:rPr>
        <w:t>减薄至4mm，更换新的</w:t>
      </w:r>
      <w:r>
        <w:rPr>
          <w:rFonts w:hint="eastAsia" w:ascii="仿宋_GB2312" w:hAnsi="仿宋_GB2312" w:eastAsia="仿宋_GB2312" w:cs="仿宋_GB2312"/>
          <w:sz w:val="24"/>
          <w:szCs w:val="24"/>
          <w:lang w:val="en-US" w:eastAsia="zh-CN"/>
        </w:rPr>
        <w:t>衬</w:t>
      </w:r>
      <w:r>
        <w:rPr>
          <w:rFonts w:hint="eastAsia" w:ascii="仿宋_GB2312" w:hAnsi="仿宋_GB2312" w:eastAsia="仿宋_GB2312" w:cs="仿宋_GB2312"/>
          <w:sz w:val="24"/>
          <w:szCs w:val="24"/>
          <w:lang w:eastAsia="zh-CN"/>
        </w:rPr>
        <w:t>板；垃圾溜槽和保护板厚度降至原始厚度的一半，更换新板</w:t>
      </w:r>
    </w:p>
    <w:p>
      <w:pPr>
        <w:widowControl w:val="0"/>
        <w:numPr>
          <w:ilvl w:val="0"/>
          <w:numId w:val="0"/>
        </w:numPr>
        <w:spacing w:line="360" w:lineRule="auto"/>
        <w:jc w:val="both"/>
        <w:rPr>
          <w:rFonts w:hint="eastAsia" w:ascii="仿宋_GB2312" w:hAnsi="仿宋_GB2312" w:eastAsia="仿宋_GB2312" w:cs="仿宋_GB2312"/>
          <w:sz w:val="24"/>
          <w:szCs w:val="24"/>
          <w:lang w:eastAsia="zh-CN"/>
        </w:rPr>
      </w:pPr>
    </w:p>
    <w:p>
      <w:pPr>
        <w:widowControl w:val="0"/>
        <w:numPr>
          <w:ilvl w:val="0"/>
          <w:numId w:val="0"/>
        </w:numPr>
        <w:spacing w:line="360" w:lineRule="auto"/>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drawing>
          <wp:inline distT="0" distB="0" distL="114300" distR="114300">
            <wp:extent cx="8415655" cy="5408930"/>
            <wp:effectExtent l="0" t="0" r="1270" b="4445"/>
            <wp:docPr id="63" name="图片 63" descr="00dab03d1133a6fae232fb77f161e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00dab03d1133a6fae232fb77f161e70"/>
                    <pic:cNvPicPr>
                      <a:picLocks noChangeAspect="1"/>
                    </pic:cNvPicPr>
                  </pic:nvPicPr>
                  <pic:blipFill>
                    <a:blip r:embed="rId9"/>
                    <a:stretch>
                      <a:fillRect/>
                    </a:stretch>
                  </pic:blipFill>
                  <pic:spPr>
                    <a:xfrm rot="16200000">
                      <a:off x="0" y="0"/>
                      <a:ext cx="8415655" cy="5408930"/>
                    </a:xfrm>
                    <a:prstGeom prst="rect">
                      <a:avLst/>
                    </a:prstGeom>
                  </pic:spPr>
                </pic:pic>
              </a:graphicData>
            </a:graphic>
          </wp:inline>
        </w:drawing>
      </w:r>
    </w:p>
    <w:p>
      <w:pPr>
        <w:widowControl w:val="0"/>
        <w:numPr>
          <w:ilvl w:val="0"/>
          <w:numId w:val="0"/>
        </w:numPr>
        <w:spacing w:line="360" w:lineRule="auto"/>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图4</w:t>
      </w:r>
    </w:p>
    <w:p>
      <w:pPr>
        <w:numPr>
          <w:ilvl w:val="0"/>
          <w:numId w:val="1"/>
        </w:numPr>
        <w:spacing w:line="360" w:lineRule="auto"/>
        <w:ind w:left="210" w:leftChars="0"/>
        <w:rPr>
          <w:rFonts w:hint="eastAsia" w:ascii="仿宋_GB2312" w:hAnsi="仿宋_GB2312" w:eastAsia="仿宋_GB2312" w:cs="仿宋_GB2312"/>
          <w:sz w:val="24"/>
          <w:szCs w:val="24"/>
          <w:lang w:val="en-US" w:eastAsia="zh-CN"/>
        </w:rPr>
      </w:pPr>
      <w:bookmarkStart w:id="1" w:name="_Hlk527101701"/>
      <w:r>
        <w:rPr>
          <w:rFonts w:hint="eastAsia" w:ascii="仿宋_GB2312" w:hAnsi="仿宋_GB2312" w:eastAsia="仿宋_GB2312" w:cs="仿宋_GB2312"/>
          <w:sz w:val="24"/>
          <w:szCs w:val="24"/>
          <w:lang w:val="en-US" w:eastAsia="zh-CN"/>
        </w:rPr>
        <w:t>料斗挡板兼架桥破解装置</w:t>
      </w:r>
      <w:bookmarkEnd w:id="1"/>
      <w:r>
        <w:rPr>
          <w:rFonts w:hint="eastAsia" w:ascii="仿宋_GB2312" w:hAnsi="仿宋_GB2312" w:eastAsia="仿宋_GB2312" w:cs="仿宋_GB2312"/>
          <w:sz w:val="24"/>
          <w:szCs w:val="24"/>
          <w:lang w:val="en-US" w:eastAsia="zh-CN"/>
        </w:rPr>
        <w:t>：检查水冷套及金属软管等部件，泄漏点恢复处理；波纹管检查破损及更换，各连接销检查更换</w:t>
      </w:r>
    </w:p>
    <w:p>
      <w:pPr>
        <w:widowControl w:val="0"/>
        <w:numPr>
          <w:ilvl w:val="0"/>
          <w:numId w:val="0"/>
        </w:numPr>
        <w:spacing w:line="360" w:lineRule="auto"/>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inline distT="0" distB="0" distL="114300" distR="114300">
            <wp:extent cx="7851140" cy="5527040"/>
            <wp:effectExtent l="0" t="0" r="16510" b="16510"/>
            <wp:docPr id="64" name="图片 64" descr="a6d646403e9cd80c0168663eb6474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a6d646403e9cd80c0168663eb6474f2"/>
                    <pic:cNvPicPr>
                      <a:picLocks noChangeAspect="1"/>
                    </pic:cNvPicPr>
                  </pic:nvPicPr>
                  <pic:blipFill>
                    <a:blip r:embed="rId10"/>
                    <a:stretch>
                      <a:fillRect/>
                    </a:stretch>
                  </pic:blipFill>
                  <pic:spPr>
                    <a:xfrm rot="16200000">
                      <a:off x="0" y="0"/>
                      <a:ext cx="7851140" cy="5527040"/>
                    </a:xfrm>
                    <a:prstGeom prst="rect">
                      <a:avLst/>
                    </a:prstGeom>
                  </pic:spPr>
                </pic:pic>
              </a:graphicData>
            </a:graphic>
          </wp:inline>
        </w:drawing>
      </w:r>
    </w:p>
    <w:p>
      <w:pPr>
        <w:widowControl w:val="0"/>
        <w:numPr>
          <w:ilvl w:val="0"/>
          <w:numId w:val="0"/>
        </w:numPr>
        <w:spacing w:line="360" w:lineRule="auto"/>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图5</w:t>
      </w:r>
    </w:p>
    <w:p>
      <w:pPr>
        <w:numPr>
          <w:ilvl w:val="0"/>
          <w:numId w:val="1"/>
        </w:numPr>
        <w:spacing w:line="360" w:lineRule="auto"/>
        <w:ind w:left="210" w:leftChars="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前拱保护装置：检查磨损及断裂，必要时更换，吊挂及安装固定件检查更换</w:t>
      </w:r>
    </w:p>
    <w:p>
      <w:pPr>
        <w:widowControl w:val="0"/>
        <w:numPr>
          <w:ilvl w:val="0"/>
          <w:numId w:val="0"/>
        </w:numPr>
        <w:spacing w:line="360" w:lineRule="auto"/>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anchor distT="0" distB="0" distL="114300" distR="114300" simplePos="0" relativeHeight="251663360" behindDoc="0" locked="0" layoutInCell="1" allowOverlap="1">
            <wp:simplePos x="0" y="0"/>
            <wp:positionH relativeFrom="column">
              <wp:posOffset>-1096645</wp:posOffset>
            </wp:positionH>
            <wp:positionV relativeFrom="paragraph">
              <wp:posOffset>1183640</wp:posOffset>
            </wp:positionV>
            <wp:extent cx="7841615" cy="5532755"/>
            <wp:effectExtent l="0" t="0" r="10795" b="6985"/>
            <wp:wrapTopAndBottom/>
            <wp:docPr id="65" name="图片 65" descr="d3dc58f45a7358a227250e1a6a16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d3dc58f45a7358a227250e1a6a16358"/>
                    <pic:cNvPicPr>
                      <a:picLocks noChangeAspect="1"/>
                    </pic:cNvPicPr>
                  </pic:nvPicPr>
                  <pic:blipFill>
                    <a:blip r:embed="rId11"/>
                    <a:stretch>
                      <a:fillRect/>
                    </a:stretch>
                  </pic:blipFill>
                  <pic:spPr>
                    <a:xfrm rot="16200000">
                      <a:off x="0" y="0"/>
                      <a:ext cx="7841615" cy="5532755"/>
                    </a:xfrm>
                    <a:prstGeom prst="rect">
                      <a:avLst/>
                    </a:prstGeom>
                  </pic:spPr>
                </pic:pic>
              </a:graphicData>
            </a:graphic>
          </wp:anchor>
        </w:drawing>
      </w:r>
      <w:r>
        <w:rPr>
          <w:rFonts w:hint="eastAsia" w:ascii="仿宋_GB2312" w:hAnsi="仿宋_GB2312" w:eastAsia="仿宋_GB2312" w:cs="仿宋_GB2312"/>
          <w:sz w:val="24"/>
          <w:szCs w:val="24"/>
          <w:lang w:val="en-US" w:eastAsia="zh-CN"/>
        </w:rPr>
        <w:t>图6</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numPr>
          <w:ilvl w:val="0"/>
          <w:numId w:val="1"/>
        </w:numPr>
        <w:spacing w:line="360" w:lineRule="auto"/>
        <w:ind w:left="210" w:leftChars="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推料器：滑轨检查及更换；本体检查更换损坏部件；推台块检查更换；必要磨损件更换。</w:t>
      </w:r>
    </w:p>
    <w:p>
      <w:pPr>
        <w:widowControl w:val="0"/>
        <w:numPr>
          <w:ilvl w:val="0"/>
          <w:numId w:val="0"/>
        </w:numPr>
        <w:spacing w:line="360" w:lineRule="auto"/>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drawing>
          <wp:anchor distT="0" distB="0" distL="114300" distR="114300" simplePos="0" relativeHeight="251664384" behindDoc="0" locked="0" layoutInCell="1" allowOverlap="1">
            <wp:simplePos x="0" y="0"/>
            <wp:positionH relativeFrom="column">
              <wp:posOffset>57150</wp:posOffset>
            </wp:positionH>
            <wp:positionV relativeFrom="paragraph">
              <wp:posOffset>195580</wp:posOffset>
            </wp:positionV>
            <wp:extent cx="5579110" cy="3098800"/>
            <wp:effectExtent l="0" t="0" r="2540" b="6350"/>
            <wp:wrapTopAndBottom/>
            <wp:docPr id="66" name="图片 66" descr="3b9d937753559b7bdc8d69497791a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3b9d937753559b7bdc8d69497791a65"/>
                    <pic:cNvPicPr>
                      <a:picLocks noChangeAspect="1"/>
                    </pic:cNvPicPr>
                  </pic:nvPicPr>
                  <pic:blipFill>
                    <a:blip r:embed="rId12"/>
                    <a:stretch>
                      <a:fillRect/>
                    </a:stretch>
                  </pic:blipFill>
                  <pic:spPr>
                    <a:xfrm>
                      <a:off x="0" y="0"/>
                      <a:ext cx="5579110" cy="3098800"/>
                    </a:xfrm>
                    <a:prstGeom prst="rect">
                      <a:avLst/>
                    </a:prstGeom>
                  </pic:spPr>
                </pic:pic>
              </a:graphicData>
            </a:graphic>
          </wp:anchor>
        </w:drawing>
      </w:r>
      <w:r>
        <w:rPr>
          <w:rFonts w:hint="eastAsia" w:ascii="仿宋_GB2312" w:hAnsi="仿宋_GB2312" w:eastAsia="仿宋_GB2312" w:cs="仿宋_GB2312"/>
          <w:sz w:val="24"/>
          <w:szCs w:val="24"/>
          <w:lang w:val="en-US" w:eastAsia="zh-CN"/>
        </w:rPr>
        <w:t>图7</w:t>
      </w:r>
    </w:p>
    <w:p>
      <w:pPr>
        <w:numPr>
          <w:ilvl w:val="0"/>
          <w:numId w:val="0"/>
        </w:numPr>
        <w:ind w:left="635" w:hanging="425"/>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表3推料器主要部件检查项目</w:t>
      </w:r>
    </w:p>
    <w:tbl>
      <w:tblPr>
        <w:tblStyle w:val="12"/>
        <w:tblpPr w:leftFromText="180" w:rightFromText="180" w:vertAnchor="text" w:horzAnchor="page" w:tblpX="2438" w:tblpY="488"/>
        <w:tblOverlap w:val="never"/>
        <w:tblW w:w="792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4"/>
        <w:gridCol w:w="3512"/>
        <w:gridCol w:w="34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9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sz w:val="24"/>
                <w:szCs w:val="24"/>
                <w:u w:val="none"/>
                <w:lang w:val="en-US" w:eastAsia="zh-CN"/>
              </w:rPr>
              <w:t>项目</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2"/>
                <w:sz w:val="24"/>
                <w:szCs w:val="24"/>
                <w:u w:val="none"/>
                <w:lang w:val="en-US" w:eastAsia="zh-CN" w:bidi="ar-SA"/>
              </w:rPr>
              <w:t>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5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杆密封件</w:t>
            </w: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杂物是否进入压盖填料是否泄漏</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必要时更换填料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4"/>
                <w:szCs w:val="24"/>
                <w:u w:val="none"/>
              </w:rPr>
            </w:pP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有无压盖填料的老化；有无膨胀节的撕裂</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仿宋_GB2312" w:hAnsi="仿宋_GB2312" w:eastAsia="仿宋_GB2312" w:cs="仿宋_GB2312"/>
                <w:i w:val="0"/>
                <w:iCs w:val="0"/>
                <w:color w:val="000000"/>
                <w:sz w:val="24"/>
                <w:szCs w:val="24"/>
                <w:u w:val="none"/>
              </w:rPr>
            </w:pP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有无支架的裂纹</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推料器和壳体</w:t>
            </w:r>
          </w:p>
        </w:tc>
        <w:tc>
          <w:tcPr>
            <w:tcW w:w="3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支架和/或托架内衬垫的磨损；是否泄漏</w:t>
            </w:r>
          </w:p>
        </w:tc>
        <w:tc>
          <w:tcPr>
            <w:tcW w:w="3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有无投下炉排块的烧坏、变形、缺失</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79" w:hRule="atLeast"/>
        </w:trPr>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挡板用螺栓有无断裂</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滑板的磨损</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推料器和支架有无腐蚀</w:t>
            </w:r>
          </w:p>
        </w:tc>
        <w:tc>
          <w:tcPr>
            <w:tcW w:w="3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9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仿宋_GB2312" w:eastAsia="仿宋_GB2312" w:cs="仿宋_GB2312"/>
                <w:i w:val="0"/>
                <w:iCs w:val="0"/>
                <w:color w:val="000000"/>
                <w:sz w:val="24"/>
                <w:szCs w:val="24"/>
                <w:u w:val="none"/>
              </w:rPr>
            </w:pPr>
          </w:p>
        </w:tc>
        <w:tc>
          <w:tcPr>
            <w:tcW w:w="3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球形轴套表面是否粘附</w:t>
            </w:r>
          </w:p>
        </w:tc>
        <w:tc>
          <w:tcPr>
            <w:tcW w:w="3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视情况更换</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numPr>
          <w:ilvl w:val="0"/>
          <w:numId w:val="0"/>
        </w:num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出渣机及溜槽竖井、渣斗：出渣机内衬板检查厚度小于原始厚度1/2更换，刮刀及刮板靴检查磨损，传动机构检查磨损润滑；溜槽竖井变形腐蚀更换，水冷套检查泄漏修复；膨胀节检查更换。渣斗密封检查修复；启动挡板检查恢复，轴承更换；2#炉渣斗双层卸灰阀更换8套</w:t>
      </w:r>
    </w:p>
    <w:p>
      <w:pPr>
        <w:numPr>
          <w:ilvl w:val="0"/>
          <w:numId w:val="0"/>
        </w:num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sz w:val="24"/>
          <w:szCs w:val="24"/>
          <w:lang w:eastAsia="zh-CN"/>
        </w:rPr>
        <w:drawing>
          <wp:anchor distT="0" distB="0" distL="114300" distR="114300" simplePos="0" relativeHeight="251666432" behindDoc="0" locked="0" layoutInCell="1" allowOverlap="1">
            <wp:simplePos x="0" y="0"/>
            <wp:positionH relativeFrom="column">
              <wp:posOffset>-142875</wp:posOffset>
            </wp:positionH>
            <wp:positionV relativeFrom="paragraph">
              <wp:posOffset>5014595</wp:posOffset>
            </wp:positionV>
            <wp:extent cx="5572125" cy="2825750"/>
            <wp:effectExtent l="0" t="0" r="9525" b="12700"/>
            <wp:wrapTopAndBottom/>
            <wp:docPr id="69" name="图片 69" descr="5bbd4e12abce603aab4404fd6669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5bbd4e12abce603aab4404fd6669718"/>
                    <pic:cNvPicPr>
                      <a:picLocks noChangeAspect="1"/>
                    </pic:cNvPicPr>
                  </pic:nvPicPr>
                  <pic:blipFill>
                    <a:blip r:embed="rId13"/>
                    <a:stretch>
                      <a:fillRect/>
                    </a:stretch>
                  </pic:blipFill>
                  <pic:spPr>
                    <a:xfrm>
                      <a:off x="0" y="0"/>
                      <a:ext cx="5572125" cy="2825750"/>
                    </a:xfrm>
                    <a:prstGeom prst="rect">
                      <a:avLst/>
                    </a:prstGeom>
                  </pic:spPr>
                </pic:pic>
              </a:graphicData>
            </a:graphic>
          </wp:anchor>
        </w:drawing>
      </w:r>
      <w:r>
        <w:rPr>
          <w:rFonts w:hint="eastAsia" w:ascii="仿宋_GB2312" w:hAnsi="仿宋_GB2312" w:eastAsia="仿宋_GB2312" w:cs="仿宋_GB2312"/>
          <w:sz w:val="24"/>
          <w:szCs w:val="24"/>
          <w:lang w:val="en-US" w:eastAsia="zh-CN"/>
        </w:rPr>
        <w:drawing>
          <wp:anchor distT="0" distB="0" distL="114300" distR="114300" simplePos="0" relativeHeight="251665408" behindDoc="0" locked="0" layoutInCell="1" allowOverlap="1">
            <wp:simplePos x="0" y="0"/>
            <wp:positionH relativeFrom="column">
              <wp:posOffset>-85725</wp:posOffset>
            </wp:positionH>
            <wp:positionV relativeFrom="paragraph">
              <wp:posOffset>173355</wp:posOffset>
            </wp:positionV>
            <wp:extent cx="5576570" cy="4646295"/>
            <wp:effectExtent l="0" t="0" r="5080" b="1905"/>
            <wp:wrapTopAndBottom/>
            <wp:docPr id="68" name="图片 68" descr="b25379e5003370fb04bced282681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b25379e5003370fb04bced2826817b0"/>
                    <pic:cNvPicPr>
                      <a:picLocks noChangeAspect="1"/>
                    </pic:cNvPicPr>
                  </pic:nvPicPr>
                  <pic:blipFill>
                    <a:blip r:embed="rId14"/>
                    <a:stretch>
                      <a:fillRect/>
                    </a:stretch>
                  </pic:blipFill>
                  <pic:spPr>
                    <a:xfrm>
                      <a:off x="0" y="0"/>
                      <a:ext cx="5576570" cy="4646295"/>
                    </a:xfrm>
                    <a:prstGeom prst="rect">
                      <a:avLst/>
                    </a:prstGeom>
                  </pic:spPr>
                </pic:pic>
              </a:graphicData>
            </a:graphic>
          </wp:anchor>
        </w:drawing>
      </w:r>
      <w:r>
        <w:rPr>
          <w:rFonts w:hint="eastAsia" w:ascii="仿宋_GB2312" w:hAnsi="仿宋_GB2312" w:eastAsia="仿宋_GB2312" w:cs="仿宋_GB2312"/>
          <w:sz w:val="24"/>
          <w:szCs w:val="24"/>
          <w:lang w:val="en-US" w:eastAsia="zh-CN"/>
        </w:rPr>
        <w:t>图8、9</w:t>
      </w:r>
    </w:p>
    <w:p>
      <w:pPr>
        <w:numPr>
          <w:ilvl w:val="0"/>
          <w:numId w:val="0"/>
        </w:num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图10</w:t>
      </w:r>
    </w:p>
    <w:p>
      <w:pPr>
        <w:numPr>
          <w:ilvl w:val="0"/>
          <w:numId w:val="0"/>
        </w:numPr>
        <w:ind w:left="635" w:hanging="425"/>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表4出渣机及竖井、渣斗主要部件检查项目</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tbl>
      <w:tblPr>
        <w:tblStyle w:val="12"/>
        <w:tblpPr w:leftFromText="180" w:rightFromText="180" w:vertAnchor="text" w:horzAnchor="page" w:tblpX="2303" w:tblpY="-110"/>
        <w:tblOverlap w:val="never"/>
        <w:tblW w:w="73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0"/>
        <w:gridCol w:w="3855"/>
        <w:gridCol w:w="2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出渣机</w:t>
            </w:r>
          </w:p>
        </w:tc>
        <w:tc>
          <w:tcPr>
            <w:tcW w:w="385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项目</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壳体</w:t>
            </w:r>
          </w:p>
        </w:tc>
        <w:tc>
          <w:tcPr>
            <w:tcW w:w="385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由腐蚀或磨损引起的裂缝、过分变形或破洞</w:t>
            </w:r>
          </w:p>
        </w:tc>
        <w:tc>
          <w:tcPr>
            <w:tcW w:w="213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耐磨板</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耐磨板厚度</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刮板靴</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磨损</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挡板</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磨损</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无油轴瓦</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磨损</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轴台</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润滑剂补充</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连接销</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磨损</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溜槽竖井</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变形，磨损</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膨胀节</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变形，开裂</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必要时更换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渣斗</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变形，开裂，泄漏</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修复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双层卸灰阀</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变形，磨损，开裂</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气动挡板</w:t>
            </w: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挡板缺失，磨损，变形</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挡板恢复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传动机构检查</w:t>
            </w:r>
          </w:p>
        </w:tc>
        <w:tc>
          <w:tcPr>
            <w:tcW w:w="21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恢复</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hint="eastAsia" w:ascii="仿宋_GB2312" w:hAnsi="仿宋_GB2312" w:eastAsia="仿宋_GB2312" w:cs="仿宋_GB2312"/>
          <w:b/>
          <w:sz w:val="24"/>
          <w:szCs w:val="24"/>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482" w:firstLineChars="200"/>
        <w:textAlignment w:val="auto"/>
        <w:outlineLvl w:val="0"/>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此次维修项目包括不限于以上内容，相关技术要求除遵循相关国家规范要求外，须遵循《长治生活市主城区生活垃圾无害化处理项目焚烧炉、余热锅炉及辅助装置设备及服务采购技术协议》及上海康恒环境股份有限公司关于长治项目的焚烧炉设备维护手册和安装手册内容进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both"/>
        <w:textAlignment w:val="auto"/>
        <w:outlineLvl w:val="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附件五：</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val="en-US" w:eastAsia="zh-CN"/>
        </w:rPr>
        <w:t>炉排维修备件</w:t>
      </w:r>
      <w:r>
        <w:rPr>
          <w:rFonts w:hint="eastAsia" w:ascii="仿宋_GB2312" w:hAnsi="仿宋_GB2312" w:eastAsia="仿宋_GB2312" w:cs="仿宋_GB2312"/>
          <w:b/>
          <w:sz w:val="32"/>
          <w:szCs w:val="32"/>
          <w:lang w:eastAsia="zh-CN"/>
        </w:rPr>
        <w:t>使用量明细</w:t>
      </w:r>
    </w:p>
    <w:tbl>
      <w:tblPr>
        <w:tblStyle w:val="12"/>
        <w:tblW w:w="879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0"/>
        <w:gridCol w:w="1137"/>
        <w:gridCol w:w="2053"/>
        <w:gridCol w:w="1168"/>
        <w:gridCol w:w="908"/>
        <w:gridCol w:w="1034"/>
        <w:gridCol w:w="892"/>
        <w:gridCol w:w="7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设备</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名称</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单位</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单价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使用量</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总价</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右遮板组件</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中间遮板组件</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左遮板组件</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遮盖板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遮板用销</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遮板用销</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遮板平垫圈</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开口销4×35</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上部及中间炉排平台</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上部及中间炉排平板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下部炉排平台</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25</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下部炉排平板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25</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支撑挡板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导向板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密封碳环</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可动炉排梁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固定炉排梁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可动炉排梁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可动炉排梁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固定炉排梁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固定炉排梁</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上部侧面炉排</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中间侧面炉排</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中间组件</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曲柄用销</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曲柄用销</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调整垫片</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球面轴承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轴承座组件（一）</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炉排</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轴承座组件（二）</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保护附件</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保护附件</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盖板（下段中间部）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盖板（下段两端部）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盖板（上段中间部）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盖板（上段两端部）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上段密封板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下段密封板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下段左侧盖板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下段右侧盖板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上端左侧盖板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上端右侧盖板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下端后方盖板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上端后方盖板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24</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盖板（导向板部）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底板（中间部）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底板（中央部）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底板（两端部）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底板（左侧）</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底板（右侧）</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密封板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密封板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密封板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密封板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密封板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投下块（中间部）</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底板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滑座（中央上游侧）</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滑座（中央下游侧）</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滑座（右侧上）</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滑座（右侧下）</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滑座（左侧上）</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滑座（左侧下）</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双头螺柱</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480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调整垫片</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68</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调整垫片</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48</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69</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挡料板（中间段）</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10</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推料器</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12#槽钢</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吨</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71</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出渣机</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耐磨衬板(一）</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72</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出渣机</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耐磨衬板(三）</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73</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渣料斗</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漏渣挡板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74</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渣料斗</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落渣井</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套</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75</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渣料斗</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波纹管</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rPr>
            </w:pPr>
            <w:r>
              <w:rPr>
                <w:rFonts w:hint="eastAsia" w:ascii="仿宋_GB2312" w:hAnsi="仿宋_GB2312" w:eastAsia="仿宋_GB2312" w:cs="仿宋_GB2312"/>
                <w:i w:val="0"/>
                <w:iCs w:val="0"/>
                <w:color w:val="000000"/>
                <w:kern w:val="0"/>
                <w:sz w:val="24"/>
                <w:szCs w:val="24"/>
                <w:u w:val="none"/>
                <w:lang w:val="en-US" w:eastAsia="zh-CN" w:bidi="ar"/>
              </w:rPr>
              <w:t>76</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渣料斗</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双层电动卸灰阀</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件</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77</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渣料斗</w:t>
            </w:r>
          </w:p>
        </w:tc>
        <w:tc>
          <w:tcPr>
            <w:tcW w:w="2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耐磨衬板</w:t>
            </w:r>
          </w:p>
        </w:tc>
        <w:tc>
          <w:tcPr>
            <w:tcW w:w="11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吨</w:t>
            </w:r>
          </w:p>
        </w:tc>
        <w:tc>
          <w:tcPr>
            <w:tcW w:w="9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4"/>
                <w:szCs w:val="24"/>
                <w:u w:val="none"/>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79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报价包含税费、安装、运输、机械</w:t>
            </w:r>
            <w:r>
              <w:rPr>
                <w:rFonts w:hint="eastAsia" w:ascii="仿宋_GB2312" w:eastAsia="仿宋_GB2312"/>
                <w:color w:val="auto"/>
                <w:sz w:val="24"/>
                <w:lang w:val="en-US" w:eastAsia="zh-CN"/>
              </w:rPr>
              <w:t>等所有费用</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val="en-US" w:eastAsia="zh-CN"/>
        </w:rPr>
        <w:t>六</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lang w:val="en-US" w:eastAsia="zh-CN"/>
        </w:rPr>
        <w:t>焚烧炉炉排系统维修项目（</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2024-018</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tbl>
      <w:tblPr>
        <w:tblStyle w:val="12"/>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869"/>
        <w:gridCol w:w="1215"/>
        <w:gridCol w:w="12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9165" w:type="dxa"/>
            <w:gridSpan w:val="7"/>
            <w:tcBorders>
              <w:top w:val="nil"/>
              <w:left w:val="nil"/>
              <w:bottom w:val="single" w:color="000000" w:sz="4" w:space="0"/>
              <w:right w:val="nil"/>
            </w:tcBorders>
            <w:shd w:val="clear" w:color="auto" w:fill="auto"/>
            <w:vAlign w:val="center"/>
          </w:tcPr>
          <w:p>
            <w:pPr>
              <w:jc w:val="left"/>
              <w:rPr>
                <w:rFonts w:hint="eastAsia" w:ascii="仿宋_GB2312" w:hAnsi="宋体" w:eastAsia="仿宋_GB2312" w:cs="仿宋"/>
                <w:b/>
                <w:bCs/>
                <w:color w:val="auto"/>
                <w:sz w:val="28"/>
                <w:szCs w:val="28"/>
                <w:lang w:val="en-US" w:eastAsia="zh-CN"/>
              </w:rPr>
            </w:pPr>
            <w:r>
              <w:rPr>
                <w:rFonts w:hint="eastAsia" w:ascii="仿宋_GB2312" w:hAnsi="宋体" w:eastAsia="仿宋_GB2312" w:cs="仿宋"/>
                <w:b/>
                <w:bCs/>
                <w:color w:val="auto"/>
                <w:sz w:val="28"/>
                <w:szCs w:val="28"/>
                <w:lang w:val="en-US" w:eastAsia="zh-CN"/>
              </w:rPr>
              <w:t>附件八：</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1"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3"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86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419"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2"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4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86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2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20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88"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400" w:firstLineChars="20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bookmarkStart w:id="3" w:name="_GoBack"/>
      <w:bookmarkEnd w:id="3"/>
    </w:p>
    <w:p>
      <w:pPr>
        <w:pStyle w:val="15"/>
        <w:rPr>
          <w:rFonts w:hint="eastAsia" w:ascii="仿宋_GB2312" w:eastAsia="仿宋_GB2312"/>
          <w:color w:val="auto"/>
          <w:sz w:val="32"/>
          <w:lang w:val="en-US" w:eastAsia="zh-CN"/>
        </w:rPr>
      </w:pPr>
      <w:bookmarkStart w:id="2" w:name="End"/>
      <w:bookmarkEnd w:id="2"/>
    </w:p>
    <w:sectPr>
      <w:pgSz w:w="16840" w:h="11907" w:orient="landscape"/>
      <w:pgMar w:top="1418" w:right="1361" w:bottom="1418" w:left="1361"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4F3E46"/>
    <w:multiLevelType w:val="singleLevel"/>
    <w:tmpl w:val="494F3E4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3405D70"/>
    <w:rsid w:val="04092529"/>
    <w:rsid w:val="04D57360"/>
    <w:rsid w:val="0639213D"/>
    <w:rsid w:val="081F7F55"/>
    <w:rsid w:val="09375706"/>
    <w:rsid w:val="0A8821D6"/>
    <w:rsid w:val="0B777256"/>
    <w:rsid w:val="0C6368FF"/>
    <w:rsid w:val="107F33E2"/>
    <w:rsid w:val="10C1008B"/>
    <w:rsid w:val="12CD3DBB"/>
    <w:rsid w:val="13934D27"/>
    <w:rsid w:val="148D0DA3"/>
    <w:rsid w:val="16954A6C"/>
    <w:rsid w:val="17B90DF1"/>
    <w:rsid w:val="18E570E8"/>
    <w:rsid w:val="1A6803B6"/>
    <w:rsid w:val="1C4F2D03"/>
    <w:rsid w:val="1EE10380"/>
    <w:rsid w:val="217B04DD"/>
    <w:rsid w:val="21DF10AD"/>
    <w:rsid w:val="23A30240"/>
    <w:rsid w:val="2AEA6823"/>
    <w:rsid w:val="2B236C4F"/>
    <w:rsid w:val="2CB7386A"/>
    <w:rsid w:val="2D0839C4"/>
    <w:rsid w:val="2E2A4680"/>
    <w:rsid w:val="338A7F0A"/>
    <w:rsid w:val="34780C53"/>
    <w:rsid w:val="3A2B02EC"/>
    <w:rsid w:val="3D361A26"/>
    <w:rsid w:val="3F6F5ED1"/>
    <w:rsid w:val="3F983A86"/>
    <w:rsid w:val="400B247B"/>
    <w:rsid w:val="424A7AE7"/>
    <w:rsid w:val="43D916B8"/>
    <w:rsid w:val="44932BEF"/>
    <w:rsid w:val="453D45F2"/>
    <w:rsid w:val="4566763F"/>
    <w:rsid w:val="46B457D0"/>
    <w:rsid w:val="47261C3D"/>
    <w:rsid w:val="48752D96"/>
    <w:rsid w:val="4AA94BEF"/>
    <w:rsid w:val="4C112FF3"/>
    <w:rsid w:val="4C852A0A"/>
    <w:rsid w:val="4DB538B9"/>
    <w:rsid w:val="4DD94EEC"/>
    <w:rsid w:val="4E1253E1"/>
    <w:rsid w:val="4F3F0234"/>
    <w:rsid w:val="4FBF6451"/>
    <w:rsid w:val="50F1344C"/>
    <w:rsid w:val="52171610"/>
    <w:rsid w:val="54BC3F27"/>
    <w:rsid w:val="54E62189"/>
    <w:rsid w:val="575E3F95"/>
    <w:rsid w:val="58222830"/>
    <w:rsid w:val="58D13B7F"/>
    <w:rsid w:val="59D32AE1"/>
    <w:rsid w:val="5A080BA8"/>
    <w:rsid w:val="5A461CAE"/>
    <w:rsid w:val="5C0E3941"/>
    <w:rsid w:val="5C6825AA"/>
    <w:rsid w:val="5E0A3B9C"/>
    <w:rsid w:val="5F6302C6"/>
    <w:rsid w:val="5FC353A5"/>
    <w:rsid w:val="604F449B"/>
    <w:rsid w:val="60AB7E86"/>
    <w:rsid w:val="63D66318"/>
    <w:rsid w:val="6587755B"/>
    <w:rsid w:val="65D60782"/>
    <w:rsid w:val="667E2026"/>
    <w:rsid w:val="67755B92"/>
    <w:rsid w:val="67B0620F"/>
    <w:rsid w:val="68303598"/>
    <w:rsid w:val="694D4756"/>
    <w:rsid w:val="6A9F07BD"/>
    <w:rsid w:val="6ACD1926"/>
    <w:rsid w:val="6B7D2A29"/>
    <w:rsid w:val="6CEF242D"/>
    <w:rsid w:val="7129774D"/>
    <w:rsid w:val="72201FFF"/>
    <w:rsid w:val="74E25B87"/>
    <w:rsid w:val="75945B50"/>
    <w:rsid w:val="770C66B0"/>
    <w:rsid w:val="783771FF"/>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360" w:lineRule="auto"/>
      <w:jc w:val="center"/>
      <w:outlineLvl w:val="0"/>
    </w:pPr>
    <w:rPr>
      <w:rFonts w:hAnsi="宋体" w:eastAsia="黑体"/>
      <w:kern w:val="0"/>
      <w:sz w:val="36"/>
      <w:szCs w:val="20"/>
    </w:rPr>
  </w:style>
  <w:style w:type="paragraph" w:styleId="3">
    <w:name w:val="heading 2"/>
    <w:basedOn w:val="1"/>
    <w:next w:val="1"/>
    <w:autoRedefine/>
    <w:qFormat/>
    <w:uiPriority w:val="0"/>
    <w:pPr>
      <w:keepNext/>
      <w:keepLines/>
      <w:spacing w:before="260" w:after="260" w:line="360" w:lineRule="auto"/>
      <w:jc w:val="center"/>
      <w:outlineLvl w:val="1"/>
    </w:pPr>
    <w:rPr>
      <w:rFonts w:ascii="Arial" w:hAnsi="Arial" w:eastAsia="黑体"/>
      <w:kern w:val="0"/>
      <w:sz w:val="30"/>
      <w:szCs w:val="20"/>
    </w:rPr>
  </w:style>
  <w:style w:type="paragraph" w:styleId="4">
    <w:name w:val="heading 3"/>
    <w:basedOn w:val="1"/>
    <w:next w:val="1"/>
    <w:autoRedefine/>
    <w:qFormat/>
    <w:uiPriority w:val="0"/>
    <w:pPr>
      <w:keepNext/>
      <w:keepLines/>
      <w:spacing w:before="260" w:after="260" w:line="416" w:lineRule="auto"/>
      <w:jc w:val="center"/>
      <w:outlineLvl w:val="2"/>
    </w:pPr>
    <w:rPr>
      <w:rFonts w:eastAsia="黑体"/>
      <w:b/>
      <w:bCs/>
      <w:sz w:val="28"/>
      <w:szCs w:val="32"/>
    </w:rPr>
  </w:style>
  <w:style w:type="character" w:default="1" w:styleId="13">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Body Text"/>
    <w:basedOn w:val="1"/>
    <w:next w:val="1"/>
    <w:autoRedefine/>
    <w:qFormat/>
    <w:uiPriority w:val="0"/>
    <w:pPr>
      <w:spacing w:line="0" w:lineRule="atLeast"/>
    </w:pPr>
    <w:rPr>
      <w:sz w:val="30"/>
      <w:szCs w:val="20"/>
    </w:rPr>
  </w:style>
  <w:style w:type="paragraph" w:styleId="7">
    <w:name w:val="Plain Text"/>
    <w:basedOn w:val="1"/>
    <w:autoRedefine/>
    <w:qFormat/>
    <w:uiPriority w:val="0"/>
    <w:rPr>
      <w:rFonts w:ascii="宋体" w:hAnsi="Courier New"/>
      <w:szCs w:val="20"/>
    </w:rPr>
  </w:style>
  <w:style w:type="paragraph" w:styleId="8">
    <w:name w:val="Date"/>
    <w:basedOn w:val="1"/>
    <w:next w:val="1"/>
    <w:autoRedefine/>
    <w:qFormat/>
    <w:uiPriority w:val="0"/>
    <w:rPr>
      <w:sz w:val="24"/>
      <w:szCs w:val="24"/>
    </w:rPr>
  </w:style>
  <w:style w:type="paragraph" w:styleId="9">
    <w:name w:val="footer"/>
    <w:basedOn w:val="1"/>
    <w:autoRedefine/>
    <w:qFormat/>
    <w:uiPriority w:val="0"/>
    <w:pPr>
      <w:widowControl/>
      <w:tabs>
        <w:tab w:val="center" w:pos="4153"/>
        <w:tab w:val="right" w:pos="8306"/>
      </w:tabs>
      <w:snapToGrid w:val="0"/>
      <w:jc w:val="left"/>
    </w:pPr>
    <w:rPr>
      <w:kern w:val="0"/>
      <w:sz w:val="18"/>
      <w:szCs w:val="20"/>
    </w:rPr>
  </w:style>
  <w:style w:type="paragraph" w:styleId="10">
    <w:name w:val="header"/>
    <w:basedOn w:val="1"/>
    <w:autoRedefine/>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autoRedefine/>
    <w:qFormat/>
    <w:uiPriority w:val="0"/>
    <w:pPr>
      <w:snapToGrid w:val="0"/>
      <w:jc w:val="left"/>
    </w:pPr>
    <w:rPr>
      <w:sz w:val="18"/>
      <w:szCs w:val="18"/>
    </w:rPr>
  </w:style>
  <w:style w:type="character" w:styleId="14">
    <w:name w:val="page number"/>
    <w:basedOn w:val="13"/>
    <w:autoRedefine/>
    <w:qFormat/>
    <w:uiPriority w:val="0"/>
  </w:style>
  <w:style w:type="paragraph" w:customStyle="1" w:styleId="15">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6">
    <w:name w:val="NormalCharacter"/>
    <w:autoRedefine/>
    <w:semiHidden/>
    <w:qFormat/>
    <w:uiPriority w:val="0"/>
  </w:style>
  <w:style w:type="paragraph" w:customStyle="1" w:styleId="17">
    <w:name w:val="cucd-0"/>
    <w:autoRedefine/>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8324</Words>
  <Characters>8751</Characters>
  <Lines>0</Lines>
  <Paragraphs>0</Paragraphs>
  <TotalTime>5</TotalTime>
  <ScaleCrop>false</ScaleCrop>
  <LinksUpToDate>false</LinksUpToDate>
  <CharactersWithSpaces>9975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2024-03-18T23:51:00Z</cp:lastPrinted>
  <dcterms:modified xsi:type="dcterms:W3CDTF">2024-03-19T08:27:54Z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BF95D36068654428B59A2FA0E980CBD9_13</vt:lpwstr>
  </property>
</Properties>
</file>